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ED014A1" w14:textId="55F827D2" w:rsidR="00D80B6D" w:rsidRPr="00B346ED" w:rsidRDefault="00D80B6D" w:rsidP="00B346ED">
          <w:pPr>
            <w:rPr>
              <w:highlight w:val="yellow"/>
            </w:rPr>
          </w:pPr>
        </w:p>
        <w:p w14:paraId="0FB45B67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b/>
              <w:sz w:val="24"/>
            </w:rPr>
            <w:t>INDEX HYPOTEČNÍCH ÚVĚRŮ</w:t>
          </w:r>
          <w:r w:rsidRPr="007443AD">
            <w:rPr>
              <w:rFonts w:asciiTheme="minorHAnsi" w:hAnsiTheme="minorHAnsi" w:cstheme="minorHAnsi"/>
              <w:sz w:val="24"/>
            </w:rPr>
            <w:t xml:space="preserve"> | </w:t>
          </w:r>
          <w:r w:rsidRPr="007443AD">
            <w:rPr>
              <w:rFonts w:asciiTheme="minorHAnsi" w:hAnsiTheme="minorHAnsi" w:cstheme="minorHAnsi"/>
              <w:b/>
              <w:sz w:val="24"/>
            </w:rPr>
            <w:t xml:space="preserve">FIXINDEX </w:t>
          </w:r>
        </w:p>
        <w:p w14:paraId="03C4DE47" w14:textId="137DE246" w:rsidR="0009776B" w:rsidRDefault="00D80B6D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PODÍLOVÝCH FONDŮ </w:t>
          </w:r>
        </w:p>
        <w:p w14:paraId="5F5E486E" w14:textId="2A454C45" w:rsidR="004B5B94" w:rsidRPr="007443AD" w:rsidRDefault="004B5B94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>
            <w:rPr>
              <w:rFonts w:asciiTheme="minorHAnsi" w:hAnsiTheme="minorHAnsi" w:cstheme="minorHAnsi"/>
              <w:sz w:val="24"/>
            </w:rPr>
            <w:t>REALINDEX</w:t>
          </w:r>
        </w:p>
        <w:p w14:paraId="32900BCE" w14:textId="5904F9FC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P</w:t>
          </w:r>
          <w:r w:rsidR="005F65A1" w:rsidRPr="007443AD">
            <w:rPr>
              <w:rFonts w:asciiTheme="minorHAnsi" w:hAnsiTheme="minorHAnsi" w:cstheme="minorHAnsi"/>
              <w:sz w:val="24"/>
            </w:rPr>
            <w:t>OV</w:t>
          </w:r>
          <w:r w:rsidRPr="007443AD">
            <w:rPr>
              <w:rFonts w:asciiTheme="minorHAnsi" w:hAnsiTheme="minorHAnsi" w:cstheme="minorHAnsi"/>
              <w:sz w:val="24"/>
            </w:rPr>
            <w:t xml:space="preserve">INDEX </w:t>
          </w:r>
        </w:p>
        <w:p w14:paraId="5B21B8A6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660AEB6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51D468A4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F2ED30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C828C1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9B23CF7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7EC9300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1132A3F" w14:textId="5D367D7A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5B7E46" w:rsidRDefault="00D80B6D" w:rsidP="00D80B6D">
          <w:pPr>
            <w:jc w:val="both"/>
            <w:rPr>
              <w:rFonts w:asciiTheme="minorHAnsi" w:hAnsiTheme="minorHAnsi" w:cstheme="minorHAnsi"/>
              <w:sz w:val="20"/>
              <w:szCs w:val="20"/>
            </w:rPr>
          </w:pPr>
        </w:p>
        <w:p w14:paraId="08070DCC" w14:textId="1339148C" w:rsidR="00792EE9" w:rsidRPr="005B7E46" w:rsidRDefault="00792EE9" w:rsidP="00792EE9">
          <w:pPr>
            <w:jc w:val="both"/>
            <w:rPr>
              <w:rStyle w:val="dn"/>
              <w:rFonts w:asciiTheme="minorHAnsi" w:hAnsiTheme="minorHAnsi" w:cstheme="minorHAnsi"/>
              <w:sz w:val="20"/>
              <w:szCs w:val="20"/>
            </w:rPr>
          </w:pPr>
          <w:r w:rsidRPr="005B7E46">
            <w:rPr>
              <w:rFonts w:asciiTheme="minorHAnsi" w:hAnsiTheme="minorHAnsi" w:cstheme="minorHAnsi"/>
              <w:sz w:val="20"/>
              <w:szCs w:val="20"/>
            </w:rPr>
            <w:t>Broker Consulting je jednou z největších společností na českém a slovenském trhu, která poskytuje služby v oblasti financí a realit. Od rok</w:t>
          </w:r>
          <w:r w:rsidR="001734B4">
            <w:rPr>
              <w:rFonts w:asciiTheme="minorHAnsi" w:hAnsiTheme="minorHAnsi" w:cstheme="minorHAnsi"/>
              <w:sz w:val="20"/>
              <w:szCs w:val="20"/>
            </w:rPr>
            <w:t>u 1998 získala důvěru více než 7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00 000 klientů. Poskytuje také služby přes 4 000 firmám. Distribuci služeb zajišťuje přibližně 2 000 konzultantů (profesionální konzultanti, zaměstnanci, konzultanti v zapracování v ČR i SR</w:t>
          </w:r>
          <w:r w:rsidR="00B8133C">
            <w:rPr>
              <w:rFonts w:asciiTheme="minorHAnsi" w:hAnsiTheme="minorHAnsi" w:cstheme="minorHAnsi"/>
              <w:sz w:val="20"/>
              <w:szCs w:val="20"/>
            </w:rPr>
            <w:t>) ve více než 150 kancelářích</w:t>
          </w:r>
          <w:r w:rsidR="00CD6257" w:rsidRPr="005B7E46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 w:rsidR="00B8133C">
            <w:rPr>
              <w:rFonts w:asciiTheme="minorHAnsi" w:hAnsiTheme="minorHAnsi" w:cstheme="minorHAnsi"/>
              <w:sz w:val="20"/>
              <w:szCs w:val="20"/>
            </w:rPr>
            <w:t>a na několika desítkách poboček</w:t>
          </w:r>
          <w:r w:rsidR="00B2198E">
            <w:rPr>
              <w:rFonts w:asciiTheme="minorHAnsi" w:hAnsiTheme="minorHAnsi" w:cstheme="minorHAnsi"/>
              <w:sz w:val="20"/>
              <w:szCs w:val="20"/>
            </w:rPr>
            <w:t xml:space="preserve"> Broker Point Premium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</w:t>
          </w:r>
          <w:r w:rsidR="00B2198E">
            <w:rPr>
              <w:rFonts w:asciiTheme="minorHAnsi" w:hAnsiTheme="minorHAnsi" w:cstheme="minorHAnsi"/>
              <w:sz w:val="20"/>
              <w:szCs w:val="20"/>
            </w:rPr>
            <w:t xml:space="preserve"> služby společně, to je Broker Point Premium</w:t>
          </w:r>
          <w:r w:rsidR="004D6BA6">
            <w:rPr>
              <w:rFonts w:asciiTheme="minorHAnsi" w:hAnsiTheme="minorHAnsi" w:cstheme="minorHAnsi"/>
              <w:sz w:val="20"/>
              <w:szCs w:val="20"/>
            </w:rPr>
            <w:t>,</w:t>
          </w:r>
          <w:r w:rsidR="00961519" w:rsidRPr="00961519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 w:rsidR="00961519">
            <w:rPr>
              <w:rFonts w:asciiTheme="minorHAnsi" w:hAnsiTheme="minorHAnsi" w:cstheme="minorHAnsi"/>
              <w:sz w:val="20"/>
              <w:szCs w:val="20"/>
            </w:rPr>
            <w:t xml:space="preserve">jehož přináší společnost Broker Consulting, která za vedení franšízy a její podporu získala ocenění </w:t>
          </w:r>
          <w:r w:rsidR="00961519" w:rsidRPr="00A0680F"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t>Franchisor roku 2022</w:t>
          </w:r>
          <w:r w:rsidR="00961519" w:rsidRPr="00A0680F">
            <w:rPr>
              <w:rFonts w:asciiTheme="minorHAnsi" w:hAnsiTheme="minorHAnsi" w:cstheme="minorHAnsi"/>
              <w:color w:val="FF0000"/>
              <w:sz w:val="20"/>
              <w:szCs w:val="20"/>
            </w:rPr>
            <w:t xml:space="preserve"> </w:t>
          </w:r>
          <w:r w:rsidR="00961519">
            <w:rPr>
              <w:rFonts w:asciiTheme="minorHAnsi" w:hAnsiTheme="minorHAnsi" w:cstheme="minorHAnsi"/>
              <w:sz w:val="20"/>
              <w:szCs w:val="20"/>
            </w:rPr>
            <w:t>od České asociace franchisingu</w:t>
          </w:r>
          <w:r w:rsidR="008D373A" w:rsidRPr="005B7E46">
            <w:rPr>
              <w:rFonts w:asciiTheme="minorHAnsi" w:hAnsiTheme="minorHAnsi" w:cstheme="minorHAnsi"/>
              <w:sz w:val="20"/>
              <w:szCs w:val="20"/>
            </w:rPr>
            <w:t xml:space="preserve">.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Více na </w:t>
          </w:r>
          <w:hyperlink r:id="rId9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bcas.cz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0" w:history="1">
            <w:r w:rsidR="00B2198E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brokerpointy</w:t>
            </w:r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r w:rsidR="00B2198E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>brokerpoint</w:t>
          </w:r>
          <w:hyperlink r:id="rId11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.tv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2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realityspolu.cz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.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Navštivte také náš </w:t>
          </w:r>
          <w:hyperlink r:id="rId13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, </w:t>
          </w:r>
          <w:hyperlink r:id="rId14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Consulting, Twitter </w:t>
          </w:r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 xml:space="preserve">@BC_oficialni,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5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6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r w:rsidR="00B2198E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Point Premium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even" r:id="rId17"/>
              <w:headerReference w:type="default" r:id="rId18"/>
              <w:footerReference w:type="even" r:id="rId19"/>
              <w:footerReference w:type="default" r:id="rId20"/>
              <w:headerReference w:type="first" r:id="rId21"/>
              <w:footerReference w:type="first" r:id="rId22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35539C65" w14:textId="0F6CA0E6" w:rsidR="00D31127" w:rsidRPr="006545F8" w:rsidRDefault="000F092E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23"/>
              <w:headerReference w:type="default" r:id="rId24"/>
              <w:footerReference w:type="even" r:id="rId25"/>
              <w:footerReference w:type="default" r:id="rId26"/>
              <w:headerReference w:type="first" r:id="rId27"/>
              <w:footerReference w:type="first" r:id="rId28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305A0D43" w14:textId="04D0389A" w:rsidR="00EC65E8" w:rsidRPr="0017296F" w:rsidRDefault="00C70A05" w:rsidP="00EC65E8">
      <w:pPr>
        <w:pStyle w:val="Odstavecseseznamem"/>
        <w:spacing w:after="240"/>
        <w:ind w:left="720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Hypo</w:t>
      </w:r>
      <w:r w:rsidR="00575630">
        <w:rPr>
          <w:rFonts w:asciiTheme="minorHAnsi" w:hAnsiTheme="minorHAnsi" w:cstheme="minorHAnsi"/>
          <w:b/>
          <w:sz w:val="24"/>
          <w:szCs w:val="24"/>
        </w:rPr>
        <w:t>teční sazby stagnují</w:t>
      </w:r>
    </w:p>
    <w:p w14:paraId="3860D099" w14:textId="470A61E1" w:rsidR="008A4605" w:rsidRDefault="005A163F" w:rsidP="00BA2A8A">
      <w:pPr>
        <w:pStyle w:val="Bezmezer"/>
        <w:numPr>
          <w:ilvl w:val="0"/>
          <w:numId w:val="14"/>
        </w:numPr>
        <w:jc w:val="both"/>
        <w:rPr>
          <w:rFonts w:eastAsiaTheme="minorHAnsi" w:cstheme="minorHAnsi"/>
          <w:b/>
          <w:color w:val="000000" w:themeColor="text1"/>
        </w:rPr>
      </w:pPr>
      <w:r>
        <w:rPr>
          <w:rFonts w:eastAsiaTheme="minorHAnsi" w:cstheme="minorHAnsi"/>
          <w:b/>
          <w:color w:val="000000" w:themeColor="text1"/>
        </w:rPr>
        <w:t>Broker Consulting Index hypotečn</w:t>
      </w:r>
      <w:r w:rsidR="00575630">
        <w:rPr>
          <w:rFonts w:eastAsiaTheme="minorHAnsi" w:cstheme="minorHAnsi"/>
          <w:b/>
          <w:color w:val="000000" w:themeColor="text1"/>
        </w:rPr>
        <w:t>ích úvěrů zaznamenal v dubnu</w:t>
      </w:r>
      <w:r>
        <w:rPr>
          <w:rFonts w:eastAsiaTheme="minorHAnsi" w:cstheme="minorHAnsi"/>
          <w:b/>
          <w:color w:val="000000" w:themeColor="text1"/>
        </w:rPr>
        <w:t xml:space="preserve"> průměrnou sazbu </w:t>
      </w:r>
      <w:r w:rsidR="00575630">
        <w:rPr>
          <w:rFonts w:eastAsiaTheme="minorHAnsi" w:cstheme="minorHAnsi"/>
          <w:b/>
          <w:color w:val="000000" w:themeColor="text1"/>
        </w:rPr>
        <w:t>4,7</w:t>
      </w:r>
      <w:r>
        <w:rPr>
          <w:rFonts w:eastAsiaTheme="minorHAnsi" w:cstheme="minorHAnsi"/>
          <w:b/>
          <w:color w:val="000000" w:themeColor="text1"/>
        </w:rPr>
        <w:t>2 procenta.</w:t>
      </w:r>
    </w:p>
    <w:p w14:paraId="20EFA540" w14:textId="621C03CF" w:rsidR="008A4605" w:rsidRDefault="005A163F" w:rsidP="00BA2A8A">
      <w:pPr>
        <w:pStyle w:val="Bezmezer"/>
        <w:numPr>
          <w:ilvl w:val="0"/>
          <w:numId w:val="14"/>
        </w:numPr>
        <w:jc w:val="both"/>
        <w:rPr>
          <w:rFonts w:eastAsiaTheme="minorHAnsi" w:cstheme="minorHAnsi"/>
          <w:b/>
          <w:color w:val="000000" w:themeColor="text1"/>
        </w:rPr>
      </w:pPr>
      <w:r>
        <w:rPr>
          <w:rFonts w:eastAsiaTheme="minorHAnsi" w:cstheme="minorHAnsi"/>
          <w:b/>
          <w:color w:val="000000" w:themeColor="text1"/>
        </w:rPr>
        <w:t>Oproti předchozím</w:t>
      </w:r>
      <w:r w:rsidR="003747F7">
        <w:rPr>
          <w:rFonts w:eastAsiaTheme="minorHAnsi" w:cstheme="minorHAnsi"/>
          <w:b/>
          <w:color w:val="000000" w:themeColor="text1"/>
        </w:rPr>
        <w:t>u měsíci eviduje</w:t>
      </w:r>
      <w:r w:rsidR="00575630">
        <w:rPr>
          <w:rFonts w:eastAsiaTheme="minorHAnsi" w:cstheme="minorHAnsi"/>
          <w:b/>
          <w:color w:val="000000" w:themeColor="text1"/>
        </w:rPr>
        <w:t xml:space="preserve"> velmi mírný pokles, a to o 0,03</w:t>
      </w:r>
      <w:r>
        <w:rPr>
          <w:rFonts w:eastAsiaTheme="minorHAnsi" w:cstheme="minorHAnsi"/>
          <w:b/>
          <w:color w:val="000000" w:themeColor="text1"/>
        </w:rPr>
        <w:t xml:space="preserve"> procentního bodu.</w:t>
      </w:r>
    </w:p>
    <w:p w14:paraId="3F256EA6" w14:textId="22F193FB" w:rsidR="008A4605" w:rsidRDefault="005C0C18" w:rsidP="00BA2A8A">
      <w:pPr>
        <w:pStyle w:val="Bezmezer"/>
        <w:numPr>
          <w:ilvl w:val="0"/>
          <w:numId w:val="14"/>
        </w:numPr>
        <w:jc w:val="both"/>
        <w:rPr>
          <w:rFonts w:eastAsiaTheme="minorHAnsi" w:cstheme="minorHAnsi"/>
          <w:b/>
          <w:color w:val="000000" w:themeColor="text1"/>
        </w:rPr>
      </w:pPr>
      <w:r>
        <w:rPr>
          <w:rFonts w:eastAsiaTheme="minorHAnsi" w:cstheme="minorHAnsi"/>
          <w:b/>
          <w:color w:val="000000" w:themeColor="text1"/>
        </w:rPr>
        <w:t>Výraznější změny</w:t>
      </w:r>
      <w:r w:rsidR="00FB5D32">
        <w:rPr>
          <w:rFonts w:eastAsiaTheme="minorHAnsi" w:cstheme="minorHAnsi"/>
          <w:b/>
          <w:color w:val="000000" w:themeColor="text1"/>
        </w:rPr>
        <w:t xml:space="preserve"> ve vývoji sazeb</w:t>
      </w:r>
      <w:r>
        <w:rPr>
          <w:rFonts w:eastAsiaTheme="minorHAnsi" w:cstheme="minorHAnsi"/>
          <w:b/>
          <w:color w:val="000000" w:themeColor="text1"/>
        </w:rPr>
        <w:t xml:space="preserve"> odborníci nepředpokládají.</w:t>
      </w:r>
    </w:p>
    <w:p w14:paraId="348338A4" w14:textId="5C7E84A7" w:rsidR="00E2695D" w:rsidRDefault="00E2695D" w:rsidP="00524713">
      <w:pPr>
        <w:jc w:val="both"/>
        <w:rPr>
          <w:rFonts w:asciiTheme="minorHAnsi" w:hAnsiTheme="minorHAnsi" w:cstheme="minorHAnsi"/>
          <w:i/>
          <w:sz w:val="21"/>
          <w:szCs w:val="21"/>
        </w:rPr>
      </w:pPr>
    </w:p>
    <w:p w14:paraId="23FEBE87" w14:textId="0C2EC1C3" w:rsidR="008E6AA0" w:rsidRDefault="00575630" w:rsidP="00FB5D32">
      <w:pPr>
        <w:pStyle w:val="Normlnweb"/>
        <w:jc w:val="both"/>
        <w:rPr>
          <w:rFonts w:asciiTheme="minorHAnsi" w:eastAsia="Times New Roman" w:hAnsiTheme="minorHAnsi" w:cstheme="minorHAnsi"/>
          <w:b/>
          <w:sz w:val="21"/>
          <w:szCs w:val="21"/>
        </w:rPr>
      </w:pPr>
      <w:r>
        <w:rPr>
          <w:rFonts w:asciiTheme="minorHAnsi" w:eastAsia="Times New Roman" w:hAnsiTheme="minorHAnsi" w:cstheme="minorHAnsi"/>
          <w:bCs/>
          <w:sz w:val="21"/>
          <w:szCs w:val="21"/>
        </w:rPr>
        <w:t>Praha, 30. dubna</w:t>
      </w:r>
      <w:r w:rsidR="00412690">
        <w:rPr>
          <w:rFonts w:asciiTheme="minorHAnsi" w:eastAsia="Times New Roman" w:hAnsiTheme="minorHAnsi" w:cstheme="minorHAnsi"/>
          <w:bCs/>
          <w:sz w:val="21"/>
          <w:szCs w:val="21"/>
        </w:rPr>
        <w:t xml:space="preserve"> 2025</w:t>
      </w:r>
      <w:bookmarkStart w:id="0" w:name="_GoBack"/>
      <w:bookmarkEnd w:id="0"/>
      <w:r w:rsidR="008E6AA0" w:rsidRPr="00FB5D32">
        <w:rPr>
          <w:rFonts w:asciiTheme="minorHAnsi" w:eastAsia="Times New Roman" w:hAnsiTheme="minorHAnsi" w:cstheme="minorHAnsi"/>
          <w:sz w:val="21"/>
          <w:szCs w:val="21"/>
        </w:rPr>
        <w:t xml:space="preserve"> </w:t>
      </w:r>
      <w:r w:rsidR="005A163F" w:rsidRPr="00FB5D32">
        <w:rPr>
          <w:rFonts w:asciiTheme="minorHAnsi" w:eastAsia="Times New Roman" w:hAnsiTheme="minorHAnsi" w:cstheme="minorHAnsi"/>
          <w:sz w:val="21"/>
          <w:szCs w:val="21"/>
        </w:rPr>
        <w:t xml:space="preserve">– </w:t>
      </w:r>
      <w:r w:rsidR="005A163F" w:rsidRPr="00FB5D32">
        <w:rPr>
          <w:rFonts w:asciiTheme="minorHAnsi" w:eastAsia="Times New Roman" w:hAnsiTheme="minorHAnsi" w:cstheme="minorHAnsi"/>
          <w:b/>
          <w:sz w:val="21"/>
          <w:szCs w:val="21"/>
        </w:rPr>
        <w:t>Průměrná nabídková sazba, za kterou si mohli zá</w:t>
      </w:r>
      <w:r w:rsidR="00A36260">
        <w:rPr>
          <w:rFonts w:asciiTheme="minorHAnsi" w:eastAsia="Times New Roman" w:hAnsiTheme="minorHAnsi" w:cstheme="minorHAnsi"/>
          <w:b/>
          <w:sz w:val="21"/>
          <w:szCs w:val="21"/>
        </w:rPr>
        <w:t>jemci sjednat v dubnu</w:t>
      </w:r>
      <w:r w:rsidR="005A163F" w:rsidRPr="00FB5D32">
        <w:rPr>
          <w:rFonts w:asciiTheme="minorHAnsi" w:eastAsia="Times New Roman" w:hAnsiTheme="minorHAnsi" w:cstheme="minorHAnsi"/>
          <w:b/>
          <w:sz w:val="21"/>
          <w:szCs w:val="21"/>
        </w:rPr>
        <w:t xml:space="preserve"> hypotéku, opět mírně poklesla</w:t>
      </w:r>
      <w:r w:rsidR="008E6AA0" w:rsidRPr="00FB5D32">
        <w:rPr>
          <w:rFonts w:asciiTheme="minorHAnsi" w:eastAsia="Times New Roman" w:hAnsiTheme="minorHAnsi" w:cstheme="minorHAnsi"/>
          <w:b/>
          <w:sz w:val="21"/>
          <w:szCs w:val="21"/>
        </w:rPr>
        <w:t>. Broker Consulting Index hypote</w:t>
      </w:r>
      <w:r>
        <w:rPr>
          <w:rFonts w:asciiTheme="minorHAnsi" w:eastAsia="Times New Roman" w:hAnsiTheme="minorHAnsi" w:cstheme="minorHAnsi"/>
          <w:b/>
          <w:sz w:val="21"/>
          <w:szCs w:val="21"/>
        </w:rPr>
        <w:t>čních úvěrů zaznamenal hodnotu 4,72 %, což oproti březnovým 4,75</w:t>
      </w:r>
      <w:r w:rsidR="000164D5">
        <w:rPr>
          <w:rFonts w:asciiTheme="minorHAnsi" w:eastAsia="Times New Roman" w:hAnsiTheme="minorHAnsi" w:cstheme="minorHAnsi"/>
          <w:b/>
          <w:sz w:val="21"/>
          <w:szCs w:val="21"/>
        </w:rPr>
        <w:t xml:space="preserve"> % představuje pokles o</w:t>
      </w:r>
      <w:r>
        <w:rPr>
          <w:rFonts w:asciiTheme="minorHAnsi" w:eastAsia="Times New Roman" w:hAnsiTheme="minorHAnsi" w:cstheme="minorHAnsi"/>
          <w:b/>
          <w:sz w:val="21"/>
          <w:szCs w:val="21"/>
        </w:rPr>
        <w:t xml:space="preserve"> pouhé tři bazické body</w:t>
      </w:r>
      <w:r w:rsidR="00C70A05" w:rsidRPr="00FB5D32">
        <w:rPr>
          <w:rFonts w:asciiTheme="minorHAnsi" w:eastAsia="Times New Roman" w:hAnsiTheme="minorHAnsi" w:cstheme="minorHAnsi"/>
          <w:b/>
          <w:sz w:val="21"/>
          <w:szCs w:val="21"/>
        </w:rPr>
        <w:t xml:space="preserve">. Tento vývoj tedy potvrzuje trend, </w:t>
      </w:r>
      <w:r w:rsidR="005A163F" w:rsidRPr="00FB5D32">
        <w:rPr>
          <w:rFonts w:asciiTheme="minorHAnsi" w:eastAsia="Times New Roman" w:hAnsiTheme="minorHAnsi" w:cstheme="minorHAnsi"/>
          <w:b/>
          <w:sz w:val="21"/>
          <w:szCs w:val="21"/>
        </w:rPr>
        <w:t>který je na hypotečním trhu znatelný již</w:t>
      </w:r>
      <w:r w:rsidR="00C70A05" w:rsidRPr="00FB5D32">
        <w:rPr>
          <w:rFonts w:asciiTheme="minorHAnsi" w:eastAsia="Times New Roman" w:hAnsiTheme="minorHAnsi" w:cstheme="minorHAnsi"/>
          <w:b/>
          <w:sz w:val="21"/>
          <w:szCs w:val="21"/>
        </w:rPr>
        <w:t xml:space="preserve"> několik měsíců v řadě.</w:t>
      </w:r>
    </w:p>
    <w:p w14:paraId="0120E2CC" w14:textId="5027AD0B" w:rsidR="00F048BE" w:rsidRPr="00203BB5" w:rsidRDefault="00EE299D" w:rsidP="00203BB5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b/>
          <w:sz w:val="21"/>
          <w:szCs w:val="21"/>
          <w:lang w:bidi="ar-SA"/>
        </w:rPr>
      </w:pPr>
      <w:r w:rsidRPr="00203BB5">
        <w:rPr>
          <w:rFonts w:asciiTheme="minorHAnsi" w:hAnsiTheme="minorHAnsi" w:cstheme="minorHAnsi"/>
          <w:i/>
          <w:sz w:val="21"/>
          <w:szCs w:val="21"/>
        </w:rPr>
        <w:t>„Banky zůstávají při nastavování hypotečních sazeb zdrženlivé.</w:t>
      </w:r>
      <w:r w:rsidR="007D0908" w:rsidRPr="00203BB5">
        <w:rPr>
          <w:rFonts w:asciiTheme="minorHAnsi" w:hAnsiTheme="minorHAnsi" w:cstheme="minorHAnsi"/>
          <w:i/>
          <w:sz w:val="21"/>
          <w:szCs w:val="21"/>
        </w:rPr>
        <w:t xml:space="preserve"> Vedle opatrného postoje ČNB k tomu přispívá i zvýšená nejistota ve světové ekonomice, související mimo jiné s děním ve Spojených státech</w:t>
      </w:r>
      <w:r w:rsidR="00F048BE" w:rsidRPr="00203BB5">
        <w:rPr>
          <w:rFonts w:asciiTheme="minorHAnsi" w:hAnsiTheme="minorHAnsi" w:cstheme="minorHAnsi"/>
          <w:i/>
          <w:sz w:val="21"/>
          <w:szCs w:val="21"/>
        </w:rPr>
        <w:t xml:space="preserve">. </w:t>
      </w:r>
      <w:r w:rsidR="00F048BE" w:rsidRPr="00203BB5">
        <w:rPr>
          <w:rFonts w:asciiTheme="minorHAnsi" w:eastAsia="Times New Roman" w:hAnsiTheme="minorHAnsi" w:cstheme="minorHAnsi"/>
          <w:i/>
          <w:sz w:val="21"/>
          <w:szCs w:val="21"/>
          <w:lang w:bidi="ar-SA"/>
        </w:rPr>
        <w:t>S přihlédnutím k aktuální situaci a nejasnému ekonomickému výhledu nepředpokládám, že by nadcházející zasedání bankovní rady vedlo k poklesu hypotečních sazeb,“</w:t>
      </w:r>
      <w:r w:rsidR="003747F7" w:rsidRPr="00203BB5">
        <w:rPr>
          <w:rFonts w:asciiTheme="minorHAnsi" w:eastAsia="Times New Roman" w:hAnsiTheme="minorHAnsi" w:cstheme="minorHAnsi"/>
          <w:sz w:val="21"/>
          <w:szCs w:val="21"/>
          <w:lang w:bidi="ar-SA"/>
        </w:rPr>
        <w:t xml:space="preserve"> komentuje vývoj</w:t>
      </w:r>
      <w:r w:rsidR="00F048BE" w:rsidRPr="00203BB5">
        <w:rPr>
          <w:rFonts w:asciiTheme="minorHAnsi" w:eastAsia="Times New Roman" w:hAnsiTheme="minorHAnsi" w:cstheme="minorHAnsi"/>
          <w:sz w:val="21"/>
          <w:szCs w:val="21"/>
          <w:lang w:bidi="ar-SA"/>
        </w:rPr>
        <w:t xml:space="preserve"> Michaela Pudilová, </w:t>
      </w:r>
      <w:r w:rsidR="00F048BE" w:rsidRPr="00203BB5">
        <w:rPr>
          <w:rFonts w:asciiTheme="minorHAnsi" w:eastAsia="Times New Roman" w:hAnsiTheme="minorHAnsi" w:cstheme="minorHAnsi"/>
          <w:b/>
          <w:sz w:val="21"/>
          <w:szCs w:val="21"/>
          <w:lang w:bidi="ar-SA"/>
        </w:rPr>
        <w:t>analytička hypotečních úvěrů ze společnosti Broker Consulting.</w:t>
      </w:r>
    </w:p>
    <w:p w14:paraId="0F6AB2FF" w14:textId="13ED2136" w:rsidR="00203BB5" w:rsidRPr="00A36260" w:rsidRDefault="00203BB5" w:rsidP="00A36260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1"/>
          <w:szCs w:val="21"/>
          <w:lang w:bidi="ar-SA"/>
        </w:rPr>
      </w:pPr>
      <w:r w:rsidRPr="00203BB5">
        <w:rPr>
          <w:rFonts w:asciiTheme="minorHAnsi" w:hAnsiTheme="minorHAnsi" w:cstheme="minorHAnsi"/>
          <w:sz w:val="21"/>
          <w:szCs w:val="21"/>
        </w:rPr>
        <w:t>Pozvolný pokles průměrné úrokové sazby hypotečních úvěrů potvrzují také data Broker Consulting Indexu. Od začátku roku se sazba snížila v průměru o pouhé dvě desetiny procentního bodu a nadále zůstává nad hlavní úrokovou sazbou (3,75 %), stanovenou Českou národní bankou. V lednu činila hodnota Indexu 4,92 %, v únoru 4,83 %. V březnu sazba klesla na 4,75 % a v dubnu se posunula mírně níže na 4,72 %.</w:t>
      </w:r>
    </w:p>
    <w:p w14:paraId="01253D1C" w14:textId="77777777" w:rsidR="00A36260" w:rsidRDefault="008E6AA0" w:rsidP="00A36260">
      <w:pPr>
        <w:widowControl/>
        <w:autoSpaceDE/>
        <w:autoSpaceDN/>
        <w:spacing w:before="100" w:beforeAutospacing="1" w:after="100" w:afterAutospacing="1" w:line="160" w:lineRule="atLeast"/>
        <w:rPr>
          <w:rFonts w:asciiTheme="minorHAnsi" w:eastAsia="Times New Roman" w:hAnsiTheme="minorHAnsi" w:cstheme="minorHAnsi"/>
          <w:b/>
          <w:bCs/>
          <w:sz w:val="21"/>
          <w:szCs w:val="21"/>
          <w:lang w:bidi="ar-SA"/>
        </w:rPr>
      </w:pPr>
      <w:r w:rsidRPr="00203BB5">
        <w:rPr>
          <w:rFonts w:asciiTheme="minorHAnsi" w:eastAsia="Times New Roman" w:hAnsiTheme="minorHAnsi" w:cstheme="minorHAnsi"/>
          <w:b/>
          <w:bCs/>
          <w:sz w:val="21"/>
          <w:szCs w:val="21"/>
          <w:lang w:bidi="ar-SA"/>
        </w:rPr>
        <w:t>Co pokles sazeb znamená v praxi?</w:t>
      </w:r>
    </w:p>
    <w:p w14:paraId="78A7AD8C" w14:textId="7169C130" w:rsidR="008E6AA0" w:rsidRPr="00203BB5" w:rsidRDefault="008E6AA0" w:rsidP="00A36260">
      <w:pPr>
        <w:widowControl/>
        <w:autoSpaceDE/>
        <w:autoSpaceDN/>
        <w:spacing w:before="100" w:beforeAutospacing="1" w:after="100" w:afterAutospacing="1" w:line="160" w:lineRule="atLeast"/>
        <w:rPr>
          <w:rFonts w:asciiTheme="minorHAnsi" w:eastAsia="Times New Roman" w:hAnsiTheme="minorHAnsi" w:cstheme="minorHAnsi"/>
          <w:b/>
          <w:bCs/>
          <w:sz w:val="21"/>
          <w:szCs w:val="21"/>
          <w:lang w:bidi="ar-SA"/>
        </w:rPr>
      </w:pPr>
      <w:r w:rsidRPr="00203BB5">
        <w:rPr>
          <w:rFonts w:asciiTheme="minorHAnsi" w:eastAsia="Times New Roman" w:hAnsiTheme="minorHAnsi" w:cstheme="minorHAnsi"/>
          <w:sz w:val="21"/>
          <w:szCs w:val="21"/>
          <w:lang w:bidi="ar-SA"/>
        </w:rPr>
        <w:br/>
        <w:t>Například u hypotéky ve výši 5 milionů korun se splatností 30 let by měsíční splátka při aktuální sazb</w:t>
      </w:r>
      <w:r w:rsidR="003864EF" w:rsidRPr="00203BB5">
        <w:rPr>
          <w:rFonts w:asciiTheme="minorHAnsi" w:eastAsia="Times New Roman" w:hAnsiTheme="minorHAnsi" w:cstheme="minorHAnsi"/>
          <w:sz w:val="21"/>
          <w:szCs w:val="21"/>
          <w:lang w:bidi="ar-SA"/>
        </w:rPr>
        <w:t>ě 4,</w:t>
      </w:r>
      <w:r w:rsidR="008D53F2" w:rsidRPr="00203BB5">
        <w:rPr>
          <w:rFonts w:asciiTheme="minorHAnsi" w:eastAsia="Times New Roman" w:hAnsiTheme="minorHAnsi" w:cstheme="minorHAnsi"/>
          <w:sz w:val="21"/>
          <w:szCs w:val="21"/>
          <w:lang w:bidi="ar-SA"/>
        </w:rPr>
        <w:t>7</w:t>
      </w:r>
      <w:r w:rsidR="003864EF" w:rsidRPr="00203BB5">
        <w:rPr>
          <w:rFonts w:asciiTheme="minorHAnsi" w:eastAsia="Times New Roman" w:hAnsiTheme="minorHAnsi" w:cstheme="minorHAnsi"/>
          <w:sz w:val="21"/>
          <w:szCs w:val="21"/>
          <w:lang w:bidi="ar-SA"/>
        </w:rPr>
        <w:t xml:space="preserve">2 </w:t>
      </w:r>
      <w:r w:rsidR="008D53F2" w:rsidRPr="00203BB5">
        <w:rPr>
          <w:rFonts w:asciiTheme="minorHAnsi" w:eastAsia="Times New Roman" w:hAnsiTheme="minorHAnsi" w:cstheme="minorHAnsi"/>
          <w:sz w:val="21"/>
          <w:szCs w:val="21"/>
          <w:lang w:bidi="ar-SA"/>
        </w:rPr>
        <w:t>% činila přibližně 25 992</w:t>
      </w:r>
      <w:r w:rsidR="003864EF" w:rsidRPr="00203BB5">
        <w:rPr>
          <w:rFonts w:asciiTheme="minorHAnsi" w:eastAsia="Times New Roman" w:hAnsiTheme="minorHAnsi" w:cstheme="minorHAnsi"/>
          <w:sz w:val="21"/>
          <w:szCs w:val="21"/>
          <w:lang w:bidi="ar-SA"/>
        </w:rPr>
        <w:t xml:space="preserve"> korun. Oproti březnové hodnotě jde o úsporu </w:t>
      </w:r>
      <w:r w:rsidR="008D53F2" w:rsidRPr="00203BB5">
        <w:rPr>
          <w:rFonts w:asciiTheme="minorHAnsi" w:eastAsia="Times New Roman" w:hAnsiTheme="minorHAnsi" w:cstheme="minorHAnsi"/>
          <w:sz w:val="21"/>
          <w:szCs w:val="21"/>
          <w:lang w:bidi="ar-SA"/>
        </w:rPr>
        <w:t>o 90</w:t>
      </w:r>
      <w:r w:rsidRPr="00203BB5">
        <w:rPr>
          <w:rFonts w:asciiTheme="minorHAnsi" w:eastAsia="Times New Roman" w:hAnsiTheme="minorHAnsi" w:cstheme="minorHAnsi"/>
          <w:sz w:val="21"/>
          <w:szCs w:val="21"/>
          <w:lang w:bidi="ar-SA"/>
        </w:rPr>
        <w:t xml:space="preserve"> korun. K výraznějším změnám by došlo až při snížení sazby o celý procentní bod, což by měsíční spl</w:t>
      </w:r>
      <w:r w:rsidR="003864EF" w:rsidRPr="00203BB5">
        <w:rPr>
          <w:rFonts w:asciiTheme="minorHAnsi" w:eastAsia="Times New Roman" w:hAnsiTheme="minorHAnsi" w:cstheme="minorHAnsi"/>
          <w:sz w:val="21"/>
          <w:szCs w:val="21"/>
          <w:lang w:bidi="ar-SA"/>
        </w:rPr>
        <w:t xml:space="preserve">átku snížilo na přibližně </w:t>
      </w:r>
      <w:r w:rsidRPr="00203BB5">
        <w:rPr>
          <w:rFonts w:asciiTheme="minorHAnsi" w:eastAsia="Times New Roman" w:hAnsiTheme="minorHAnsi" w:cstheme="minorHAnsi"/>
          <w:sz w:val="21"/>
          <w:szCs w:val="21"/>
          <w:lang w:bidi="ar-SA"/>
        </w:rPr>
        <w:t xml:space="preserve"> </w:t>
      </w:r>
      <w:r w:rsidR="008D53F2" w:rsidRPr="00203BB5">
        <w:rPr>
          <w:rFonts w:asciiTheme="minorHAnsi" w:eastAsia="Times New Roman" w:hAnsiTheme="minorHAnsi" w:cstheme="minorHAnsi"/>
          <w:sz w:val="21"/>
          <w:szCs w:val="21"/>
          <w:lang w:bidi="ar-SA"/>
        </w:rPr>
        <w:t xml:space="preserve">23 071 </w:t>
      </w:r>
      <w:r w:rsidRPr="00203BB5">
        <w:rPr>
          <w:rFonts w:asciiTheme="minorHAnsi" w:eastAsia="Times New Roman" w:hAnsiTheme="minorHAnsi" w:cstheme="minorHAnsi"/>
          <w:sz w:val="21"/>
          <w:szCs w:val="21"/>
          <w:lang w:bidi="ar-SA"/>
        </w:rPr>
        <w:t>korun.</w:t>
      </w:r>
    </w:p>
    <w:p w14:paraId="07B50C72" w14:textId="1E8B72EB" w:rsidR="00C70A05" w:rsidRPr="00FB5D32" w:rsidRDefault="00A36260" w:rsidP="00FB5D32">
      <w:pPr>
        <w:pStyle w:val="Normlnweb"/>
        <w:jc w:val="both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noProof/>
          <w:sz w:val="21"/>
          <w:szCs w:val="21"/>
        </w:rPr>
        <w:drawing>
          <wp:inline distT="0" distB="0" distL="0" distR="0" wp14:anchorId="66C452BF" wp14:editId="1ADFC0F8">
            <wp:extent cx="6705600" cy="300307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624" cy="30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92643" w14:textId="14FAB71F" w:rsidR="003747F7" w:rsidRPr="00203BB5" w:rsidRDefault="003747F7" w:rsidP="00203BB5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b/>
          <w:sz w:val="21"/>
          <w:szCs w:val="21"/>
          <w:lang w:bidi="ar-SA"/>
        </w:rPr>
      </w:pPr>
      <w:r w:rsidRPr="003747F7">
        <w:rPr>
          <w:rFonts w:asciiTheme="minorHAnsi" w:eastAsia="Times New Roman" w:hAnsiTheme="minorHAnsi" w:cstheme="minorHAnsi"/>
          <w:b/>
          <w:sz w:val="21"/>
          <w:szCs w:val="21"/>
          <w:lang w:bidi="ar-SA"/>
        </w:rPr>
        <w:t xml:space="preserve">Přemýšlíte o hypotéce? </w:t>
      </w:r>
    </w:p>
    <w:p w14:paraId="6C832363" w14:textId="2EF26EEE" w:rsidR="003747F7" w:rsidRPr="003747F7" w:rsidRDefault="003747F7" w:rsidP="00203BB5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1"/>
          <w:szCs w:val="21"/>
          <w:lang w:bidi="ar-SA"/>
        </w:rPr>
      </w:pPr>
      <w:r w:rsidRPr="003747F7">
        <w:rPr>
          <w:rFonts w:asciiTheme="minorHAnsi" w:eastAsia="Times New Roman" w:hAnsiTheme="minorHAnsi" w:cstheme="minorHAnsi"/>
          <w:sz w:val="21"/>
          <w:szCs w:val="21"/>
          <w:lang w:bidi="ar-SA"/>
        </w:rPr>
        <w:t>Pak věnujte dostatek času důkladné přípravě. Než podáte žádost, je nezbytné mít j</w:t>
      </w:r>
      <w:r w:rsidRPr="00203BB5">
        <w:rPr>
          <w:rFonts w:asciiTheme="minorHAnsi" w:eastAsia="Times New Roman" w:hAnsiTheme="minorHAnsi" w:cstheme="minorHAnsi"/>
          <w:sz w:val="21"/>
          <w:szCs w:val="21"/>
          <w:lang w:bidi="ar-SA"/>
        </w:rPr>
        <w:t>asno ve své finanční situaci. T</w:t>
      </w:r>
      <w:r w:rsidRPr="003747F7">
        <w:rPr>
          <w:rFonts w:asciiTheme="minorHAnsi" w:eastAsia="Times New Roman" w:hAnsiTheme="minorHAnsi" w:cstheme="minorHAnsi"/>
          <w:sz w:val="21"/>
          <w:szCs w:val="21"/>
          <w:lang w:bidi="ar-SA"/>
        </w:rPr>
        <w:t xml:space="preserve">edy znát výši </w:t>
      </w:r>
      <w:r w:rsidR="00203BB5">
        <w:rPr>
          <w:rFonts w:asciiTheme="minorHAnsi" w:eastAsia="Times New Roman" w:hAnsiTheme="minorHAnsi" w:cstheme="minorHAnsi"/>
          <w:sz w:val="21"/>
          <w:szCs w:val="21"/>
          <w:lang w:bidi="ar-SA"/>
        </w:rPr>
        <w:t>svých příjmů, výdajů a důkladně zvážit</w:t>
      </w:r>
      <w:r w:rsidRPr="003747F7">
        <w:rPr>
          <w:rFonts w:asciiTheme="minorHAnsi" w:eastAsia="Times New Roman" w:hAnsiTheme="minorHAnsi" w:cstheme="minorHAnsi"/>
          <w:sz w:val="21"/>
          <w:szCs w:val="21"/>
          <w:lang w:bidi="ar-SA"/>
        </w:rPr>
        <w:t>, jakou splátku zvládnete pravidelně hradit. Součástí odpovědného plánování je i vytvoření dostatečné rezervy, která pokryje nečekané životní události.</w:t>
      </w:r>
    </w:p>
    <w:p w14:paraId="7DF185E5" w14:textId="10A50C03" w:rsidR="003747F7" w:rsidRPr="003747F7" w:rsidRDefault="003747F7" w:rsidP="00203BB5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1"/>
          <w:szCs w:val="21"/>
          <w:lang w:bidi="ar-SA"/>
        </w:rPr>
      </w:pPr>
      <w:r w:rsidRPr="003747F7">
        <w:rPr>
          <w:rFonts w:asciiTheme="minorHAnsi" w:eastAsia="Times New Roman" w:hAnsiTheme="minorHAnsi" w:cstheme="minorHAnsi"/>
          <w:sz w:val="21"/>
          <w:szCs w:val="21"/>
          <w:lang w:bidi="ar-SA"/>
        </w:rPr>
        <w:lastRenderedPageBreak/>
        <w:t>Výběr vhodného úvěru by neměl být uspěchaný. Zaměřte se nejen na samotnou úrokovou sazbu, ale především na RPSN, jež zahrnuje všechny poplatky spojené s hypotékou. Pokud si nejste jistí, jak se v nabídc</w:t>
      </w:r>
      <w:r w:rsidRPr="00203BB5">
        <w:rPr>
          <w:rFonts w:asciiTheme="minorHAnsi" w:eastAsia="Times New Roman" w:hAnsiTheme="minorHAnsi" w:cstheme="minorHAnsi"/>
          <w:sz w:val="21"/>
          <w:szCs w:val="21"/>
          <w:lang w:bidi="ar-SA"/>
        </w:rPr>
        <w:t>e bank zorientovat, je dobré obrátit se na finančního konzultanta</w:t>
      </w:r>
      <w:r w:rsidRPr="003747F7">
        <w:rPr>
          <w:rFonts w:asciiTheme="minorHAnsi" w:eastAsia="Times New Roman" w:hAnsiTheme="minorHAnsi" w:cstheme="minorHAnsi"/>
          <w:sz w:val="21"/>
          <w:szCs w:val="21"/>
          <w:lang w:bidi="ar-SA"/>
        </w:rPr>
        <w:t xml:space="preserve">. </w:t>
      </w:r>
      <w:r w:rsidR="00203BB5">
        <w:rPr>
          <w:rFonts w:asciiTheme="minorHAnsi" w:eastAsia="Times New Roman" w:hAnsiTheme="minorHAnsi" w:cstheme="minorHAnsi"/>
          <w:i/>
          <w:sz w:val="21"/>
          <w:szCs w:val="21"/>
          <w:lang w:bidi="ar-SA"/>
        </w:rPr>
        <w:t>„Dobře nastavený hypoteční úvěr</w:t>
      </w:r>
      <w:r w:rsidRPr="003747F7">
        <w:rPr>
          <w:rFonts w:asciiTheme="minorHAnsi" w:eastAsia="Times New Roman" w:hAnsiTheme="minorHAnsi" w:cstheme="minorHAnsi"/>
          <w:i/>
          <w:sz w:val="21"/>
          <w:szCs w:val="21"/>
          <w:lang w:bidi="ar-SA"/>
        </w:rPr>
        <w:t xml:space="preserve"> zohledňuje individuální potřeby klienta a eliminuje riziko budoucích problémů se splácením,“</w:t>
      </w:r>
      <w:r w:rsidRPr="003747F7">
        <w:rPr>
          <w:rFonts w:asciiTheme="minorHAnsi" w:eastAsia="Times New Roman" w:hAnsiTheme="minorHAnsi" w:cstheme="minorHAnsi"/>
          <w:sz w:val="21"/>
          <w:szCs w:val="21"/>
          <w:lang w:bidi="ar-SA"/>
        </w:rPr>
        <w:t xml:space="preserve"> připomíná </w:t>
      </w:r>
      <w:r w:rsidRPr="003747F7">
        <w:rPr>
          <w:rFonts w:asciiTheme="minorHAnsi" w:eastAsia="Times New Roman" w:hAnsiTheme="minorHAnsi" w:cstheme="minorHAnsi"/>
          <w:b/>
          <w:sz w:val="21"/>
          <w:szCs w:val="21"/>
          <w:lang w:bidi="ar-SA"/>
        </w:rPr>
        <w:t>Michaela Pudilová ze společnosti Broker Consulting.</w:t>
      </w:r>
    </w:p>
    <w:p w14:paraId="35AAA8FD" w14:textId="7E8381B4" w:rsidR="003747F7" w:rsidRPr="003747F7" w:rsidRDefault="003747F7" w:rsidP="00203BB5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1"/>
          <w:szCs w:val="21"/>
          <w:lang w:bidi="ar-SA"/>
        </w:rPr>
      </w:pPr>
      <w:r w:rsidRPr="003747F7">
        <w:rPr>
          <w:rFonts w:asciiTheme="minorHAnsi" w:eastAsia="Times New Roman" w:hAnsiTheme="minorHAnsi" w:cstheme="minorHAnsi"/>
          <w:sz w:val="21"/>
          <w:szCs w:val="21"/>
          <w:lang w:bidi="ar-SA"/>
        </w:rPr>
        <w:t>Při vyřizování hypotéky se připravte na d</w:t>
      </w:r>
      <w:r w:rsidRPr="00203BB5">
        <w:rPr>
          <w:rFonts w:asciiTheme="minorHAnsi" w:eastAsia="Times New Roman" w:hAnsiTheme="minorHAnsi" w:cstheme="minorHAnsi"/>
          <w:sz w:val="21"/>
          <w:szCs w:val="21"/>
          <w:lang w:bidi="ar-SA"/>
        </w:rPr>
        <w:t>oložení celé řady dokumentů, na</w:t>
      </w:r>
      <w:r w:rsidRPr="003747F7">
        <w:rPr>
          <w:rFonts w:asciiTheme="minorHAnsi" w:eastAsia="Times New Roman" w:hAnsiTheme="minorHAnsi" w:cstheme="minorHAnsi"/>
          <w:sz w:val="21"/>
          <w:szCs w:val="21"/>
          <w:lang w:bidi="ar-SA"/>
        </w:rPr>
        <w:t xml:space="preserve">příklad potvrzení o příjmu, seznam aktuálních závazků či kupní smlouvu k pořizované nemovitosti. </w:t>
      </w:r>
      <w:r w:rsidRPr="00203BB5">
        <w:rPr>
          <w:rFonts w:asciiTheme="minorHAnsi" w:eastAsia="Times New Roman" w:hAnsiTheme="minorHAnsi" w:cstheme="minorHAnsi"/>
          <w:i/>
          <w:sz w:val="21"/>
          <w:szCs w:val="21"/>
          <w:lang w:bidi="ar-SA"/>
        </w:rPr>
        <w:t>„</w:t>
      </w:r>
      <w:r w:rsidRPr="003747F7">
        <w:rPr>
          <w:rFonts w:asciiTheme="minorHAnsi" w:eastAsia="Times New Roman" w:hAnsiTheme="minorHAnsi" w:cstheme="minorHAnsi"/>
          <w:i/>
          <w:sz w:val="21"/>
          <w:szCs w:val="21"/>
          <w:lang w:bidi="ar-SA"/>
        </w:rPr>
        <w:t>Vyřízení žádosti, včetně schválení úvěru, pak může trvat od n</w:t>
      </w:r>
      <w:r w:rsidRPr="00203BB5">
        <w:rPr>
          <w:rFonts w:asciiTheme="minorHAnsi" w:eastAsia="Times New Roman" w:hAnsiTheme="minorHAnsi" w:cstheme="minorHAnsi"/>
          <w:i/>
          <w:sz w:val="21"/>
          <w:szCs w:val="21"/>
          <w:lang w:bidi="ar-SA"/>
        </w:rPr>
        <w:t xml:space="preserve">ěkolika dnů až po několik týdnů,“ </w:t>
      </w:r>
      <w:r w:rsidRPr="00203BB5">
        <w:rPr>
          <w:rFonts w:asciiTheme="minorHAnsi" w:eastAsia="Times New Roman" w:hAnsiTheme="minorHAnsi" w:cstheme="minorHAnsi"/>
          <w:sz w:val="21"/>
          <w:szCs w:val="21"/>
          <w:lang w:bidi="ar-SA"/>
        </w:rPr>
        <w:t xml:space="preserve">doplňuje </w:t>
      </w:r>
      <w:r w:rsidRPr="00203BB5">
        <w:rPr>
          <w:rFonts w:asciiTheme="minorHAnsi" w:eastAsia="Times New Roman" w:hAnsiTheme="minorHAnsi" w:cstheme="minorHAnsi"/>
          <w:b/>
          <w:sz w:val="21"/>
          <w:szCs w:val="21"/>
          <w:lang w:bidi="ar-SA"/>
        </w:rPr>
        <w:t>Pudilová.</w:t>
      </w:r>
      <w:r w:rsidRPr="00203BB5">
        <w:rPr>
          <w:rFonts w:asciiTheme="minorHAnsi" w:eastAsia="Times New Roman" w:hAnsiTheme="minorHAnsi" w:cstheme="minorHAnsi"/>
          <w:sz w:val="21"/>
          <w:szCs w:val="21"/>
          <w:lang w:bidi="ar-SA"/>
        </w:rPr>
        <w:t xml:space="preserve"> </w:t>
      </w:r>
    </w:p>
    <w:p w14:paraId="6F21C30E" w14:textId="77777777" w:rsidR="003747F7" w:rsidRPr="003747F7" w:rsidRDefault="003747F7" w:rsidP="00203BB5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1"/>
          <w:szCs w:val="21"/>
          <w:lang w:bidi="ar-SA"/>
        </w:rPr>
      </w:pPr>
      <w:r w:rsidRPr="003747F7">
        <w:rPr>
          <w:rFonts w:asciiTheme="minorHAnsi" w:eastAsia="Times New Roman" w:hAnsiTheme="minorHAnsi" w:cstheme="minorHAnsi"/>
          <w:sz w:val="21"/>
          <w:szCs w:val="21"/>
          <w:lang w:bidi="ar-SA"/>
        </w:rPr>
        <w:t>Nejčastějšími chybami jsou unáhlené přijetí první nabídky bez porovnání alternativ a podcenění dodatečných nákladů, jako je pojištění nemovitosti nebo její údržba. I když není pojištění schopnosti splácet vždy povinné, v krizových situacích může sehrát klíčovou roli.</w:t>
      </w:r>
    </w:p>
    <w:p w14:paraId="06153168" w14:textId="49F64D54" w:rsidR="00236A37" w:rsidRPr="00AB7BAF" w:rsidRDefault="00C42CA5" w:rsidP="005013FE">
      <w:pPr>
        <w:pBdr>
          <w:top w:val="single" w:sz="4" w:space="1" w:color="auto"/>
        </w:pBdr>
        <w:spacing w:before="240" w:after="120"/>
        <w:jc w:val="both"/>
        <w:rPr>
          <w:rFonts w:asciiTheme="minorHAnsi" w:hAnsiTheme="minorHAnsi" w:cstheme="minorHAnsi"/>
          <w:sz w:val="21"/>
          <w:szCs w:val="21"/>
        </w:rPr>
      </w:pPr>
      <w:r w:rsidRPr="0029038B">
        <w:rPr>
          <w:rFonts w:asciiTheme="minorHAnsi" w:hAnsiTheme="minorHAnsi" w:cstheme="minorHAnsi"/>
          <w:sz w:val="21"/>
          <w:szCs w:val="21"/>
        </w:rPr>
        <w:t xml:space="preserve">Broker </w:t>
      </w:r>
      <w:r w:rsidR="00C36E55" w:rsidRPr="0029038B">
        <w:rPr>
          <w:rFonts w:asciiTheme="minorHAnsi" w:hAnsiTheme="minorHAnsi" w:cstheme="minorHAnsi"/>
          <w:sz w:val="21"/>
          <w:szCs w:val="21"/>
        </w:rPr>
        <w:t>Con</w:t>
      </w:r>
      <w:r w:rsidR="007B0955">
        <w:rPr>
          <w:rFonts w:asciiTheme="minorHAnsi" w:hAnsiTheme="minorHAnsi" w:cstheme="minorHAnsi"/>
          <w:sz w:val="21"/>
          <w:szCs w:val="21"/>
        </w:rPr>
        <w:t>sultin</w:t>
      </w:r>
      <w:r w:rsidRPr="0029038B">
        <w:rPr>
          <w:rFonts w:asciiTheme="minorHAnsi" w:hAnsiTheme="minorHAnsi" w:cstheme="minorHAnsi"/>
          <w:sz w:val="21"/>
          <w:szCs w:val="21"/>
        </w:rPr>
        <w:t>g Index hypotečních úvěrů je analytický nástroj</w:t>
      </w:r>
      <w:r w:rsidR="00113603" w:rsidRPr="0029038B">
        <w:rPr>
          <w:rFonts w:asciiTheme="minorHAnsi" w:hAnsiTheme="minorHAnsi" w:cstheme="minorHAnsi"/>
          <w:sz w:val="21"/>
          <w:szCs w:val="21"/>
        </w:rPr>
        <w:t xml:space="preserve"> znázorňující</w:t>
      </w:r>
      <w:r w:rsidRPr="0029038B">
        <w:rPr>
          <w:rFonts w:asciiTheme="minorHAnsi" w:hAnsiTheme="minorHAnsi" w:cstheme="minorHAnsi"/>
          <w:sz w:val="21"/>
          <w:szCs w:val="21"/>
        </w:rPr>
        <w:t xml:space="preserve"> průměrnou úrokovou </w:t>
      </w:r>
      <w:r w:rsidRPr="00AB7BAF">
        <w:rPr>
          <w:rFonts w:asciiTheme="minorHAnsi" w:hAnsiTheme="minorHAnsi" w:cstheme="minorHAnsi"/>
          <w:sz w:val="21"/>
          <w:szCs w:val="21"/>
        </w:rPr>
        <w:t xml:space="preserve">sazbu u hypotečních úvěrů, </w:t>
      </w:r>
      <w:r w:rsidR="00113603" w:rsidRPr="00AB7BAF">
        <w:rPr>
          <w:rFonts w:asciiTheme="minorHAnsi" w:hAnsiTheme="minorHAnsi" w:cstheme="minorHAnsi"/>
          <w:sz w:val="21"/>
          <w:szCs w:val="21"/>
        </w:rPr>
        <w:t>které</w:t>
      </w:r>
      <w:r w:rsidRPr="00AB7BAF">
        <w:rPr>
          <w:rFonts w:asciiTheme="minorHAnsi" w:hAnsiTheme="minorHAnsi" w:cstheme="minorHAnsi"/>
          <w:sz w:val="21"/>
          <w:szCs w:val="21"/>
        </w:rPr>
        <w:t xml:space="preserve"> zprostředkovali konzultanti Brok</w:t>
      </w:r>
      <w:r w:rsidR="00776A31">
        <w:rPr>
          <w:rFonts w:asciiTheme="minorHAnsi" w:hAnsiTheme="minorHAnsi" w:cstheme="minorHAnsi"/>
          <w:sz w:val="21"/>
          <w:szCs w:val="21"/>
        </w:rPr>
        <w:t>er Consulting a pobočky Broker Point nebo Broker Point Premium</w:t>
      </w:r>
      <w:r w:rsidRPr="00AB7BAF">
        <w:rPr>
          <w:rFonts w:asciiTheme="minorHAnsi" w:hAnsiTheme="minorHAnsi" w:cstheme="minorHAnsi"/>
          <w:sz w:val="21"/>
          <w:szCs w:val="21"/>
        </w:rPr>
        <w:t xml:space="preserve"> u kteréhokoli poskytovatele hypotečních úvěrů. Jedná se o vážený aritmetický průměr, kdy hlavní vahou je objem úvěru. Tedy čím vyšší úvěr, tím jeho sazba </w:t>
      </w:r>
      <w:r w:rsidR="00113603" w:rsidRPr="00AB7BAF">
        <w:rPr>
          <w:rFonts w:asciiTheme="minorHAnsi" w:hAnsiTheme="minorHAnsi" w:cstheme="minorHAnsi"/>
          <w:sz w:val="21"/>
          <w:szCs w:val="21"/>
        </w:rPr>
        <w:t xml:space="preserve">vstupuje </w:t>
      </w:r>
      <w:r w:rsidRPr="00AB7BAF">
        <w:rPr>
          <w:rFonts w:asciiTheme="minorHAnsi" w:hAnsiTheme="minorHAnsi" w:cstheme="minorHAnsi"/>
          <w:sz w:val="21"/>
          <w:szCs w:val="21"/>
        </w:rPr>
        <w:t xml:space="preserve">do indexu větší vahou. </w:t>
      </w:r>
      <w:r w:rsidRPr="00AB7BAF">
        <w:rPr>
          <w:rFonts w:asciiTheme="minorHAnsi" w:hAnsiTheme="minorHAnsi" w:cstheme="minorHAnsi"/>
          <w:b/>
          <w:sz w:val="21"/>
          <w:szCs w:val="21"/>
        </w:rPr>
        <w:t xml:space="preserve">Výhodou metody výpočtu </w:t>
      </w:r>
      <w:r w:rsidR="00C7532A" w:rsidRPr="00AB7BAF">
        <w:rPr>
          <w:rFonts w:asciiTheme="minorHAnsi" w:hAnsiTheme="minorHAnsi" w:cstheme="minorHAnsi"/>
          <w:b/>
          <w:sz w:val="21"/>
          <w:szCs w:val="21"/>
        </w:rPr>
        <w:t xml:space="preserve">indexu </w:t>
      </w:r>
      <w:r w:rsidRPr="00AB7BAF">
        <w:rPr>
          <w:rFonts w:asciiTheme="minorHAnsi" w:hAnsiTheme="minorHAnsi" w:cstheme="minorHAnsi"/>
          <w:b/>
          <w:sz w:val="21"/>
          <w:szCs w:val="21"/>
        </w:rPr>
        <w:t>je skutečnost, že se do statistiky dostávají pouze skutečně schválené úvěry, a to bez výjimky všechny.</w:t>
      </w:r>
      <w:r w:rsidRPr="00AB7BAF">
        <w:rPr>
          <w:rFonts w:asciiTheme="minorHAnsi" w:hAnsiTheme="minorHAnsi" w:cstheme="minorHAnsi"/>
          <w:sz w:val="21"/>
          <w:szCs w:val="21"/>
        </w:rPr>
        <w:t xml:space="preserve"> Nemůže tak dojít ke zkreslení informací a index není závislý na dodávkách třetích stran. </w:t>
      </w:r>
    </w:p>
    <w:p w14:paraId="70EFA666" w14:textId="4A6CAE48" w:rsidR="002E6DB6" w:rsidRPr="00AB7BAF" w:rsidRDefault="00C42CA5" w:rsidP="005013FE">
      <w:pP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AB7BAF">
        <w:rPr>
          <w:rFonts w:asciiTheme="minorHAnsi" w:hAnsiTheme="minorHAnsi" w:cstheme="minorHAnsi"/>
          <w:sz w:val="21"/>
          <w:szCs w:val="21"/>
        </w:rPr>
        <w:t>V principu se Broker Consulting Index hypotečních úvěrů počítá ze sazeb, které jsou v danou chvíli pro daného klienta nejnižší na trhu</w:t>
      </w:r>
      <w:r w:rsidR="00FA2D1E" w:rsidRPr="00AB7BAF">
        <w:rPr>
          <w:rFonts w:asciiTheme="minorHAnsi" w:hAnsiTheme="minorHAnsi" w:cstheme="minorHAnsi"/>
          <w:sz w:val="21"/>
          <w:szCs w:val="21"/>
        </w:rPr>
        <w:t>,</w:t>
      </w:r>
      <w:r w:rsidRPr="00AB7BAF">
        <w:rPr>
          <w:rFonts w:asciiTheme="minorHAnsi" w:hAnsiTheme="minorHAnsi" w:cstheme="minorHAnsi"/>
          <w:sz w:val="21"/>
          <w:szCs w:val="21"/>
        </w:rPr>
        <w:t xml:space="preserve"> </w:t>
      </w:r>
      <w:r w:rsidR="00FA2D1E" w:rsidRPr="00AB7BAF">
        <w:rPr>
          <w:rFonts w:asciiTheme="minorHAnsi" w:hAnsiTheme="minorHAnsi" w:cstheme="minorHAnsi"/>
          <w:sz w:val="21"/>
          <w:szCs w:val="21"/>
        </w:rPr>
        <w:t>a</w:t>
      </w:r>
      <w:r w:rsidRPr="00AB7BAF">
        <w:rPr>
          <w:rFonts w:asciiTheme="minorHAnsi" w:hAnsiTheme="minorHAnsi" w:cstheme="minorHAnsi"/>
          <w:sz w:val="21"/>
          <w:szCs w:val="21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Consulting ročně zprostředkuje úvěry v objemu přesahujícím 13 miliard korun. </w:t>
      </w:r>
    </w:p>
    <w:p w14:paraId="0584C559" w14:textId="7CB832AA" w:rsidR="00C21F84" w:rsidRPr="00C21F84" w:rsidRDefault="002E6DB6" w:rsidP="005013FE">
      <w:pPr>
        <w:pBdr>
          <w:bottom w:val="single" w:sz="4" w:space="1" w:color="auto"/>
        </w:pBd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AB7BAF">
        <w:rPr>
          <w:rFonts w:asciiTheme="minorHAnsi" w:hAnsiTheme="minorHAnsi" w:cstheme="minorHAnsi"/>
          <w:color w:val="000000"/>
          <w:sz w:val="21"/>
          <w:szCs w:val="21"/>
        </w:rPr>
        <w:t>Předstihový ukazatel Broker Consulting Indexu hypotečních úvěrů a jeho výpočet rea</w:t>
      </w:r>
      <w:r w:rsidR="008C75D3" w:rsidRPr="00AB7BAF">
        <w:rPr>
          <w:rFonts w:asciiTheme="minorHAnsi" w:hAnsiTheme="minorHAnsi" w:cstheme="minorHAnsi"/>
          <w:color w:val="000000"/>
          <w:sz w:val="21"/>
          <w:szCs w:val="21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 w:rsidRPr="00AB7BAF">
        <w:rPr>
          <w:rFonts w:asciiTheme="minorHAnsi" w:hAnsiTheme="minorHAnsi" w:cstheme="minorHAnsi"/>
          <w:color w:val="000000"/>
          <w:sz w:val="21"/>
          <w:szCs w:val="21"/>
        </w:rPr>
        <w:t>ý průměr nabízených úrokových sazeb</w:t>
      </w:r>
      <w:r w:rsidR="00807AD4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v konkrétním </w:t>
      </w:r>
      <w:r w:rsidR="008C75D3" w:rsidRPr="00AB7BAF">
        <w:rPr>
          <w:rFonts w:asciiTheme="minorHAnsi" w:hAnsiTheme="minorHAnsi" w:cstheme="minorHAnsi"/>
          <w:color w:val="000000"/>
          <w:sz w:val="21"/>
          <w:szCs w:val="21"/>
        </w:rPr>
        <w:t>měsíci, ve kterém se zveřejňují hodnoty Broker Consulting Indexu hypotečních úvěrů.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Vzhledem ke statisti</w:t>
      </w:r>
      <w:r w:rsidR="004919CC" w:rsidRPr="00AB7BAF">
        <w:rPr>
          <w:rFonts w:asciiTheme="minorHAnsi" w:hAnsiTheme="minorHAnsi" w:cstheme="minorHAnsi"/>
          <w:color w:val="000000"/>
          <w:sz w:val="21"/>
          <w:szCs w:val="21"/>
        </w:rPr>
        <w:t>ce preferovaných fixací byla při výpoč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>t</w:t>
      </w:r>
      <w:r w:rsidR="004919CC" w:rsidRPr="00AB7BAF">
        <w:rPr>
          <w:rFonts w:asciiTheme="minorHAnsi" w:hAnsiTheme="minorHAnsi" w:cstheme="minorHAnsi"/>
          <w:color w:val="000000"/>
          <w:sz w:val="21"/>
          <w:szCs w:val="21"/>
        </w:rPr>
        <w:t>u zohledněna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pětiletá fixace úrokových sazeb.</w:t>
      </w:r>
    </w:p>
    <w:p w14:paraId="5FCF3C96" w14:textId="79E57602" w:rsidR="00B01F39" w:rsidRPr="00C21F84" w:rsidRDefault="00C947C0" w:rsidP="007B1851">
      <w:pPr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</w:pPr>
      <w:r w:rsidRPr="00C21F84">
        <w:rPr>
          <w:rFonts w:asciiTheme="minorHAnsi" w:hAnsiTheme="minorHAnsi" w:cstheme="minorHAnsi"/>
          <w:b/>
          <w:sz w:val="20"/>
          <w:szCs w:val="20"/>
        </w:rPr>
        <w:t>P</w:t>
      </w:r>
      <w:r w:rsidR="00B37F41" w:rsidRPr="00C21F84">
        <w:rPr>
          <w:rFonts w:asciiTheme="minorHAnsi" w:hAnsiTheme="minorHAnsi" w:cstheme="minorHAnsi"/>
          <w:b/>
          <w:sz w:val="20"/>
          <w:szCs w:val="20"/>
        </w:rPr>
        <w:t>oznámka pro média:</w:t>
      </w:r>
      <w:r w:rsidR="00B37F41" w:rsidRPr="00C21F84">
        <w:rPr>
          <w:rFonts w:asciiTheme="minorHAnsi" w:hAnsiTheme="minorHAnsi" w:cstheme="minorHAnsi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Broker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Indexy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je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možné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volně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spacing w:val="2"/>
          <w:w w:val="105"/>
          <w:sz w:val="20"/>
          <w:szCs w:val="20"/>
        </w:rPr>
        <w:t>publikovat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pouze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s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označením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„Broker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Index“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spacing w:val="-3"/>
          <w:w w:val="105"/>
          <w:sz w:val="20"/>
          <w:szCs w:val="20"/>
        </w:rPr>
        <w:t>(</w:t>
      </w:r>
      <w:r w:rsidR="00B37F41" w:rsidRPr="00C21F84">
        <w:rPr>
          <w:rFonts w:asciiTheme="minorHAnsi" w:hAnsiTheme="minorHAnsi" w:cstheme="minorHAnsi"/>
          <w:i/>
          <w:color w:val="1D1D1B"/>
          <w:spacing w:val="-3"/>
          <w:w w:val="105"/>
          <w:sz w:val="20"/>
          <w:szCs w:val="20"/>
        </w:rPr>
        <w:t>např.</w:t>
      </w:r>
      <w:r w:rsidR="00B37F41" w:rsidRPr="00C21F84">
        <w:rPr>
          <w:rFonts w:asciiTheme="minorHAnsi" w:hAnsiTheme="minorHAnsi" w:cstheme="minorHAnsi"/>
          <w:i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Broker</w:t>
      </w:r>
      <w:r w:rsidR="00B37F41" w:rsidRPr="00C21F84">
        <w:rPr>
          <w:rFonts w:asciiTheme="minorHAnsi" w:hAnsiTheme="minorHAnsi" w:cstheme="minorHAnsi"/>
          <w:i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i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index hypot</w:t>
      </w:r>
      <w:r w:rsidR="00830CE8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e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 xml:space="preserve">čních úvěrů). Více informací najdete též na webu </w:t>
      </w:r>
      <w:r w:rsidR="00B37F41" w:rsidRPr="00C21F84">
        <w:rPr>
          <w:rStyle w:val="Hypertextovodkaz"/>
          <w:rFonts w:asciiTheme="minorHAnsi" w:hAnsiTheme="minorHAnsi" w:cstheme="minorHAnsi"/>
          <w:i/>
          <w:w w:val="105"/>
          <w:sz w:val="20"/>
          <w:szCs w:val="20"/>
        </w:rPr>
        <w:t>https://www.bcas.cz/onas/pro-media/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 xml:space="preserve">. </w:t>
      </w:r>
    </w:p>
    <w:p w14:paraId="0BBC87EC" w14:textId="77777777" w:rsidR="001C22FE" w:rsidRPr="00C21F84" w:rsidRDefault="001C22FE" w:rsidP="001C22FE">
      <w:pPr>
        <w:rPr>
          <w:rFonts w:asciiTheme="minorHAnsi" w:hAnsiTheme="minorHAnsi" w:cstheme="minorHAnsi"/>
          <w:b/>
          <w:color w:val="FF0000"/>
          <w:w w:val="105"/>
          <w:sz w:val="20"/>
          <w:szCs w:val="20"/>
        </w:rPr>
      </w:pPr>
    </w:p>
    <w:p w14:paraId="72ED1D97" w14:textId="126A9B30" w:rsidR="001C22FE" w:rsidRPr="00C21F84" w:rsidRDefault="001C22FE" w:rsidP="007B1851">
      <w:pPr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</w:pPr>
      <w:r w:rsidRPr="00C21F84">
        <w:rPr>
          <w:rFonts w:asciiTheme="minorHAnsi" w:hAnsiTheme="minorHAnsi" w:cstheme="minorHAnsi"/>
          <w:b/>
          <w:color w:val="FF0000"/>
          <w:w w:val="105"/>
          <w:sz w:val="20"/>
          <w:szCs w:val="20"/>
        </w:rPr>
        <w:t>Broker Consulting Indexy je nyní možné sledovat v interaktivní formě na webu</w:t>
      </w:r>
      <w:r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. Zde lze zároveň exportovat zdrojová data ke grafům. Vice dostupné na odkaze</w:t>
      </w:r>
      <w:r w:rsidRPr="00C21F84"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  <w:t xml:space="preserve">: </w:t>
      </w:r>
      <w:hyperlink r:id="rId30" w:history="1">
        <w:r w:rsidRPr="00C21F84">
          <w:rPr>
            <w:rStyle w:val="Hypertextovodkaz"/>
            <w:rFonts w:asciiTheme="minorHAnsi" w:hAnsiTheme="minorHAnsi" w:cstheme="minorHAnsi"/>
            <w:b/>
            <w:w w:val="105"/>
            <w:sz w:val="20"/>
            <w:szCs w:val="20"/>
          </w:rPr>
          <w:t>https://www.bcas.cz/o-nas/broker-consulting-index-hypotecnich-uveru/</w:t>
        </w:r>
      </w:hyperlink>
      <w:r w:rsidRPr="00C21F84"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  <w:t xml:space="preserve">. </w:t>
      </w:r>
    </w:p>
    <w:p w14:paraId="7DE80F01" w14:textId="5F0A8380" w:rsidR="00CA1806" w:rsidRPr="00C21F84" w:rsidRDefault="00CA1806" w:rsidP="00B27178">
      <w:pPr>
        <w:jc w:val="both"/>
        <w:rPr>
          <w:rFonts w:asciiTheme="minorHAnsi" w:eastAsia="Calibri" w:hAnsiTheme="minorHAnsi" w:cstheme="minorHAnsi"/>
          <w:b/>
          <w:bCs/>
          <w:noProof/>
          <w:sz w:val="20"/>
          <w:szCs w:val="20"/>
        </w:rPr>
      </w:pPr>
    </w:p>
    <w:p w14:paraId="7C1907C0" w14:textId="1D2EC938" w:rsidR="00D60D98" w:rsidRPr="00C21F84" w:rsidRDefault="00D60D98" w:rsidP="0029038B">
      <w:pPr>
        <w:spacing w:after="120"/>
        <w:rPr>
          <w:rFonts w:asciiTheme="minorHAnsi" w:eastAsia="Calibri" w:hAnsiTheme="minorHAnsi" w:cstheme="minorHAnsi"/>
          <w:b/>
          <w:bCs/>
          <w:noProof/>
          <w:sz w:val="20"/>
          <w:szCs w:val="20"/>
        </w:rPr>
      </w:pPr>
      <w:r w:rsidRPr="00C21F84">
        <w:rPr>
          <w:rFonts w:asciiTheme="minorHAnsi" w:eastAsia="Calibri" w:hAnsiTheme="minorHAnsi" w:cstheme="minorHAnsi"/>
          <w:b/>
          <w:bCs/>
          <w:noProof/>
          <w:sz w:val="20"/>
          <w:szCs w:val="20"/>
        </w:rPr>
        <w:t>Kontakt pro média:</w:t>
      </w:r>
    </w:p>
    <w:p w14:paraId="459105C8" w14:textId="19390DF7" w:rsidR="00692610" w:rsidRPr="00C21F84" w:rsidRDefault="0029038B" w:rsidP="00C07D5F">
      <w:pPr>
        <w:rPr>
          <w:rFonts w:asciiTheme="minorHAnsi" w:eastAsia="Calibri" w:hAnsiTheme="minorHAnsi" w:cstheme="minorHAnsi"/>
          <w:bCs/>
          <w:noProof/>
          <w:sz w:val="20"/>
          <w:szCs w:val="20"/>
          <w:lang w:bidi="ar-SA"/>
        </w:rPr>
      </w:pPr>
      <w:r>
        <w:rPr>
          <w:rFonts w:asciiTheme="minorHAnsi" w:eastAsia="Calibri" w:hAnsiTheme="minorHAnsi" w:cstheme="minorHAnsi"/>
          <w:bCs/>
          <w:noProof/>
          <w:sz w:val="20"/>
          <w:szCs w:val="20"/>
        </w:rPr>
        <w:t>Lenka Kuželová</w:t>
      </w:r>
    </w:p>
    <w:p w14:paraId="1DBDA364" w14:textId="46DCE93E" w:rsidR="005F2383" w:rsidRPr="00C21F84" w:rsidRDefault="00692610" w:rsidP="00C07D5F">
      <w:pPr>
        <w:pStyle w:val="Bezmezer"/>
        <w:rPr>
          <w:rFonts w:eastAsia="Calibri" w:cstheme="minorHAnsi"/>
          <w:noProof/>
          <w:sz w:val="20"/>
          <w:szCs w:val="20"/>
        </w:rPr>
      </w:pPr>
      <w:r w:rsidRPr="00C21F84">
        <w:rPr>
          <w:rFonts w:eastAsia="Calibri" w:cstheme="minorHAnsi"/>
          <w:noProof/>
          <w:sz w:val="20"/>
          <w:szCs w:val="20"/>
        </w:rPr>
        <w:t xml:space="preserve">Specialistka PR </w:t>
      </w:r>
    </w:p>
    <w:p w14:paraId="2CCB0CE9" w14:textId="7017C754" w:rsidR="0029038B" w:rsidRDefault="0029038B" w:rsidP="0029038B">
      <w:pPr>
        <w:pStyle w:val="Bezmezer"/>
        <w:rPr>
          <w:rFonts w:eastAsia="F015TEELig" w:cstheme="minorHAnsi"/>
          <w:sz w:val="21"/>
          <w:szCs w:val="21"/>
        </w:rPr>
      </w:pPr>
      <w:r>
        <w:rPr>
          <w:rFonts w:eastAsia="F015TEELig" w:cstheme="minorHAnsi"/>
          <w:sz w:val="21"/>
          <w:szCs w:val="21"/>
        </w:rPr>
        <w:t>Mobil:</w:t>
      </w:r>
      <w:r w:rsidR="00203BB5">
        <w:rPr>
          <w:rFonts w:eastAsia="F015TEELig" w:cstheme="minorHAnsi"/>
          <w:sz w:val="21"/>
          <w:szCs w:val="21"/>
        </w:rPr>
        <w:t xml:space="preserve"> +420 731 929 990</w:t>
      </w:r>
      <w:r w:rsidRPr="00AD79CC">
        <w:rPr>
          <w:rFonts w:eastAsia="F015TEELig" w:cstheme="minorHAnsi"/>
          <w:sz w:val="21"/>
          <w:szCs w:val="21"/>
        </w:rPr>
        <w:t xml:space="preserve">, </w:t>
      </w:r>
    </w:p>
    <w:p w14:paraId="46F484FA" w14:textId="2D9E4BB4" w:rsidR="0029038B" w:rsidRPr="00AD79CC" w:rsidRDefault="0029038B" w:rsidP="0029038B">
      <w:pPr>
        <w:pStyle w:val="Bezmezer"/>
        <w:rPr>
          <w:rFonts w:eastAsia="F015TEELig" w:cstheme="minorHAnsi"/>
          <w:sz w:val="21"/>
          <w:szCs w:val="21"/>
        </w:rPr>
      </w:pPr>
      <w:r w:rsidRPr="00AD79CC">
        <w:rPr>
          <w:rFonts w:eastAsia="F015TEELig" w:cstheme="minorHAnsi"/>
          <w:sz w:val="21"/>
          <w:szCs w:val="21"/>
        </w:rPr>
        <w:t>e-mail:</w:t>
      </w:r>
      <w:r w:rsidRPr="00AD79CC">
        <w:rPr>
          <w:rFonts w:eastAsia="Calibri" w:cstheme="minorHAnsi"/>
          <w:noProof/>
          <w:sz w:val="21"/>
          <w:szCs w:val="21"/>
        </w:rPr>
        <w:t xml:space="preserve"> </w:t>
      </w:r>
      <w:hyperlink r:id="rId31" w:history="1">
        <w:r w:rsidRPr="00DE288C">
          <w:rPr>
            <w:rStyle w:val="Hypertextovodkaz"/>
            <w:rFonts w:eastAsia="Calibri" w:cstheme="minorHAnsi"/>
            <w:noProof/>
            <w:sz w:val="21"/>
            <w:szCs w:val="21"/>
          </w:rPr>
          <w:t>lenka.kuzelova@bcas.cz</w:t>
        </w:r>
      </w:hyperlink>
      <w:r>
        <w:rPr>
          <w:rFonts w:eastAsia="Calibri" w:cstheme="minorHAnsi"/>
          <w:noProof/>
          <w:sz w:val="21"/>
          <w:szCs w:val="21"/>
        </w:rPr>
        <w:t xml:space="preserve"> </w:t>
      </w:r>
    </w:p>
    <w:p w14:paraId="025F1B2F" w14:textId="28790D00" w:rsidR="00D60D98" w:rsidRPr="00C21F84" w:rsidRDefault="00D60D98" w:rsidP="0029038B">
      <w:pPr>
        <w:pStyle w:val="Bezmezer"/>
        <w:rPr>
          <w:rFonts w:eastAsia="Calibri" w:cstheme="minorHAnsi"/>
          <w:noProof/>
          <w:sz w:val="20"/>
          <w:szCs w:val="20"/>
        </w:rPr>
      </w:pPr>
    </w:p>
    <w:sectPr w:rsidR="00D60D98" w:rsidRPr="00C21F8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1A7373" w14:textId="77777777" w:rsidR="000F092E" w:rsidRDefault="000F092E">
      <w:r>
        <w:separator/>
      </w:r>
    </w:p>
  </w:endnote>
  <w:endnote w:type="continuationSeparator" w:id="0">
    <w:p w14:paraId="4F801D40" w14:textId="77777777" w:rsidR="000F092E" w:rsidRDefault="000F0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F844E" w14:textId="77777777" w:rsidR="00182E22" w:rsidRDefault="00182E2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0F092E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434883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0F092E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434883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0F092E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434883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FC255" w14:textId="77777777" w:rsidR="00182E22" w:rsidRDefault="00182E22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836A98" w14:textId="77777777" w:rsidR="000F092E" w:rsidRDefault="000F092E">
      <w:r>
        <w:separator/>
      </w:r>
    </w:p>
  </w:footnote>
  <w:footnote w:type="continuationSeparator" w:id="0">
    <w:p w14:paraId="37EBBEDE" w14:textId="77777777" w:rsidR="000F092E" w:rsidRDefault="000F09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49F15" w14:textId="77777777" w:rsidR="00182E22" w:rsidRDefault="00182E2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7443AD" w:rsidRDefault="00D80B6D" w:rsidP="00E95698">
    <w:pPr>
      <w:tabs>
        <w:tab w:val="left" w:pos="8633"/>
      </w:tabs>
      <w:spacing w:before="80"/>
      <w:ind w:firstLine="2880"/>
      <w:rPr>
        <w:rFonts w:asciiTheme="minorHAnsi" w:hAnsiTheme="minorHAnsi" w:cstheme="minorHAnsi"/>
        <w:sz w:val="52"/>
      </w:rPr>
    </w:pPr>
    <w:r w:rsidRPr="007443AD">
      <w:rPr>
        <w:rFonts w:asciiTheme="minorHAnsi" w:hAnsiTheme="minorHAnsi" w:cstheme="minorHAnsi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43AD">
      <w:rPr>
        <w:rFonts w:asciiTheme="minorHAnsi" w:hAnsiTheme="minorHAnsi" w:cstheme="minorHAnsi"/>
        <w:color w:val="1D1D1B"/>
        <w:sz w:val="48"/>
      </w:rPr>
      <w:t xml:space="preserve">BROKER CONSULTING </w:t>
    </w:r>
    <w:r w:rsidRPr="007443AD">
      <w:rPr>
        <w:rFonts w:asciiTheme="minorHAnsi" w:hAnsiTheme="minorHAnsi" w:cstheme="minorHAnsi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5E83C" w14:textId="77777777" w:rsidR="00182E22" w:rsidRDefault="00182E22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7443AD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7443AD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43AD">
      <w:rPr>
        <w:rFonts w:asciiTheme="minorHAnsi" w:hAnsiTheme="minorHAnsi" w:cstheme="minorHAnsi"/>
        <w:color w:val="1D1D1B"/>
      </w:rPr>
      <w:t>BROKER CONSULTING</w:t>
    </w:r>
  </w:p>
  <w:p w14:paraId="3FF270D6" w14:textId="6799F236" w:rsidR="00D40C89" w:rsidRPr="007443AD" w:rsidRDefault="009F59EE" w:rsidP="00D40C89">
    <w:pPr>
      <w:spacing w:before="85"/>
      <w:ind w:left="1440" w:firstLine="720"/>
      <w:rPr>
        <w:rFonts w:asciiTheme="minorHAnsi" w:hAnsiTheme="minorHAnsi" w:cstheme="minorHAnsi"/>
        <w:color w:val="E52713"/>
        <w:sz w:val="28"/>
        <w:szCs w:val="28"/>
      </w:rPr>
    </w:pPr>
    <w:r w:rsidRPr="007443AD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2A1185" w:rsidRPr="007443AD">
      <w:rPr>
        <w:rFonts w:asciiTheme="minorHAnsi" w:hAnsiTheme="minorHAnsi" w:cstheme="minorHAnsi"/>
        <w:color w:val="E52713"/>
        <w:sz w:val="28"/>
        <w:szCs w:val="28"/>
      </w:rPr>
      <w:t>HYPOTEČNÍCH ÚVĚRŮ</w:t>
    </w:r>
    <w:r w:rsidR="00D40C89" w:rsidRPr="007443AD">
      <w:rPr>
        <w:rFonts w:asciiTheme="minorHAnsi" w:hAnsiTheme="minorHAnsi" w:cstheme="minorHAnsi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44BEA"/>
    <w:multiLevelType w:val="hybridMultilevel"/>
    <w:tmpl w:val="1A8CC4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3025E"/>
    <w:multiLevelType w:val="hybridMultilevel"/>
    <w:tmpl w:val="ECCE2D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52180"/>
    <w:multiLevelType w:val="hybridMultilevel"/>
    <w:tmpl w:val="CA92D9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631C5"/>
    <w:multiLevelType w:val="hybridMultilevel"/>
    <w:tmpl w:val="37368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5" w15:restartNumberingAfterBreak="0">
    <w:nsid w:val="3A62021C"/>
    <w:multiLevelType w:val="hybridMultilevel"/>
    <w:tmpl w:val="40EC0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25D01"/>
    <w:multiLevelType w:val="hybridMultilevel"/>
    <w:tmpl w:val="20B04784"/>
    <w:lvl w:ilvl="0" w:tplc="67E89344">
      <w:start w:val="6"/>
      <w:numFmt w:val="bullet"/>
      <w:lvlText w:val="-"/>
      <w:lvlJc w:val="left"/>
      <w:pPr>
        <w:ind w:left="720" w:hanging="360"/>
      </w:pPr>
      <w:rPr>
        <w:rFonts w:ascii="Arial" w:eastAsia="F015TEELig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D60C79"/>
    <w:multiLevelType w:val="hybridMultilevel"/>
    <w:tmpl w:val="E6EEC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14760E"/>
    <w:multiLevelType w:val="hybridMultilevel"/>
    <w:tmpl w:val="7B56E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675A0"/>
    <w:multiLevelType w:val="hybridMultilevel"/>
    <w:tmpl w:val="B462C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60605"/>
    <w:multiLevelType w:val="hybridMultilevel"/>
    <w:tmpl w:val="482ABF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E63C89"/>
    <w:multiLevelType w:val="hybridMultilevel"/>
    <w:tmpl w:val="03AAFAE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2"/>
  </w:num>
  <w:num w:numId="4">
    <w:abstractNumId w:val="9"/>
  </w:num>
  <w:num w:numId="5">
    <w:abstractNumId w:val="10"/>
  </w:num>
  <w:num w:numId="6">
    <w:abstractNumId w:val="6"/>
  </w:num>
  <w:num w:numId="7">
    <w:abstractNumId w:val="12"/>
  </w:num>
  <w:num w:numId="8">
    <w:abstractNumId w:val="3"/>
  </w:num>
  <w:num w:numId="9">
    <w:abstractNumId w:val="8"/>
  </w:num>
  <w:num w:numId="10">
    <w:abstractNumId w:val="5"/>
  </w:num>
  <w:num w:numId="11">
    <w:abstractNumId w:val="11"/>
  </w:num>
  <w:num w:numId="12">
    <w:abstractNumId w:val="8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06F"/>
    <w:rsid w:val="00004919"/>
    <w:rsid w:val="00005B61"/>
    <w:rsid w:val="00010EBF"/>
    <w:rsid w:val="00011DF6"/>
    <w:rsid w:val="00014FB5"/>
    <w:rsid w:val="0001597B"/>
    <w:rsid w:val="000164D5"/>
    <w:rsid w:val="00020EC7"/>
    <w:rsid w:val="0002230E"/>
    <w:rsid w:val="000226F3"/>
    <w:rsid w:val="000262B1"/>
    <w:rsid w:val="00026F23"/>
    <w:rsid w:val="000277AC"/>
    <w:rsid w:val="00027C83"/>
    <w:rsid w:val="0003028F"/>
    <w:rsid w:val="00030E97"/>
    <w:rsid w:val="00032A79"/>
    <w:rsid w:val="00032D94"/>
    <w:rsid w:val="0003332D"/>
    <w:rsid w:val="00033FD7"/>
    <w:rsid w:val="000374D7"/>
    <w:rsid w:val="00037DAF"/>
    <w:rsid w:val="000400E4"/>
    <w:rsid w:val="000412FA"/>
    <w:rsid w:val="0004477D"/>
    <w:rsid w:val="0004487D"/>
    <w:rsid w:val="00044EC5"/>
    <w:rsid w:val="00045D86"/>
    <w:rsid w:val="00046AF6"/>
    <w:rsid w:val="0004776E"/>
    <w:rsid w:val="0005085B"/>
    <w:rsid w:val="0005423A"/>
    <w:rsid w:val="00057F54"/>
    <w:rsid w:val="000611E3"/>
    <w:rsid w:val="00061BF6"/>
    <w:rsid w:val="00067DFF"/>
    <w:rsid w:val="00070652"/>
    <w:rsid w:val="00074B2B"/>
    <w:rsid w:val="000766E7"/>
    <w:rsid w:val="00080E7A"/>
    <w:rsid w:val="00080EB3"/>
    <w:rsid w:val="00081616"/>
    <w:rsid w:val="000823D3"/>
    <w:rsid w:val="000823D6"/>
    <w:rsid w:val="00082D29"/>
    <w:rsid w:val="0008331F"/>
    <w:rsid w:val="000845CA"/>
    <w:rsid w:val="000851AC"/>
    <w:rsid w:val="000853D4"/>
    <w:rsid w:val="00087894"/>
    <w:rsid w:val="000878FB"/>
    <w:rsid w:val="0009257D"/>
    <w:rsid w:val="00092AEE"/>
    <w:rsid w:val="00092BB7"/>
    <w:rsid w:val="00092C6B"/>
    <w:rsid w:val="00094C16"/>
    <w:rsid w:val="00096425"/>
    <w:rsid w:val="00096ECA"/>
    <w:rsid w:val="0009776B"/>
    <w:rsid w:val="000A080B"/>
    <w:rsid w:val="000A3E94"/>
    <w:rsid w:val="000A6CF9"/>
    <w:rsid w:val="000B11A5"/>
    <w:rsid w:val="000B187C"/>
    <w:rsid w:val="000B6DD9"/>
    <w:rsid w:val="000B6E1B"/>
    <w:rsid w:val="000C181E"/>
    <w:rsid w:val="000C2DA6"/>
    <w:rsid w:val="000C5541"/>
    <w:rsid w:val="000C6D26"/>
    <w:rsid w:val="000C7564"/>
    <w:rsid w:val="000D0013"/>
    <w:rsid w:val="000D0B6F"/>
    <w:rsid w:val="000D14E2"/>
    <w:rsid w:val="000D17B9"/>
    <w:rsid w:val="000D2CFC"/>
    <w:rsid w:val="000D4AFB"/>
    <w:rsid w:val="000D6DDC"/>
    <w:rsid w:val="000D6E9B"/>
    <w:rsid w:val="000D7158"/>
    <w:rsid w:val="000E01C2"/>
    <w:rsid w:val="000E0639"/>
    <w:rsid w:val="000E19B2"/>
    <w:rsid w:val="000E1C76"/>
    <w:rsid w:val="000E3D86"/>
    <w:rsid w:val="000E568C"/>
    <w:rsid w:val="000E5D32"/>
    <w:rsid w:val="000E6E14"/>
    <w:rsid w:val="000F092E"/>
    <w:rsid w:val="000F4B6C"/>
    <w:rsid w:val="000F50BC"/>
    <w:rsid w:val="000F6249"/>
    <w:rsid w:val="000F6EBE"/>
    <w:rsid w:val="00101CEC"/>
    <w:rsid w:val="00103109"/>
    <w:rsid w:val="00105248"/>
    <w:rsid w:val="00106E26"/>
    <w:rsid w:val="001115A2"/>
    <w:rsid w:val="001117DE"/>
    <w:rsid w:val="00111C28"/>
    <w:rsid w:val="00113603"/>
    <w:rsid w:val="001153E3"/>
    <w:rsid w:val="00117AE4"/>
    <w:rsid w:val="00120113"/>
    <w:rsid w:val="001214E7"/>
    <w:rsid w:val="00122208"/>
    <w:rsid w:val="00122CEB"/>
    <w:rsid w:val="00123136"/>
    <w:rsid w:val="0012361F"/>
    <w:rsid w:val="00124353"/>
    <w:rsid w:val="00125B97"/>
    <w:rsid w:val="0012657A"/>
    <w:rsid w:val="00126BEC"/>
    <w:rsid w:val="00127234"/>
    <w:rsid w:val="0013044E"/>
    <w:rsid w:val="00131A69"/>
    <w:rsid w:val="001327CE"/>
    <w:rsid w:val="00132E53"/>
    <w:rsid w:val="00136115"/>
    <w:rsid w:val="00136D8D"/>
    <w:rsid w:val="00137003"/>
    <w:rsid w:val="0013717C"/>
    <w:rsid w:val="00140987"/>
    <w:rsid w:val="001421B4"/>
    <w:rsid w:val="00145622"/>
    <w:rsid w:val="001516CA"/>
    <w:rsid w:val="001524FB"/>
    <w:rsid w:val="00154308"/>
    <w:rsid w:val="00154AC2"/>
    <w:rsid w:val="0015559F"/>
    <w:rsid w:val="00156082"/>
    <w:rsid w:val="00156C9D"/>
    <w:rsid w:val="00160686"/>
    <w:rsid w:val="00160E1C"/>
    <w:rsid w:val="00161352"/>
    <w:rsid w:val="00161830"/>
    <w:rsid w:val="001620E3"/>
    <w:rsid w:val="00162553"/>
    <w:rsid w:val="00162D8E"/>
    <w:rsid w:val="00164598"/>
    <w:rsid w:val="0016482C"/>
    <w:rsid w:val="0016556A"/>
    <w:rsid w:val="001675AF"/>
    <w:rsid w:val="0016771F"/>
    <w:rsid w:val="0017296F"/>
    <w:rsid w:val="001734B4"/>
    <w:rsid w:val="00174317"/>
    <w:rsid w:val="00175545"/>
    <w:rsid w:val="001767A5"/>
    <w:rsid w:val="00176E93"/>
    <w:rsid w:val="00177C18"/>
    <w:rsid w:val="00182A92"/>
    <w:rsid w:val="00182E22"/>
    <w:rsid w:val="00187310"/>
    <w:rsid w:val="00187A96"/>
    <w:rsid w:val="00192716"/>
    <w:rsid w:val="00194831"/>
    <w:rsid w:val="00194B5D"/>
    <w:rsid w:val="001A0A5C"/>
    <w:rsid w:val="001A10BF"/>
    <w:rsid w:val="001A1A56"/>
    <w:rsid w:val="001A2D08"/>
    <w:rsid w:val="001A54DD"/>
    <w:rsid w:val="001A5AC8"/>
    <w:rsid w:val="001A61A5"/>
    <w:rsid w:val="001A7D2F"/>
    <w:rsid w:val="001B1E41"/>
    <w:rsid w:val="001B2A07"/>
    <w:rsid w:val="001B2C03"/>
    <w:rsid w:val="001B3B31"/>
    <w:rsid w:val="001B4F4B"/>
    <w:rsid w:val="001B501B"/>
    <w:rsid w:val="001B58E7"/>
    <w:rsid w:val="001B6694"/>
    <w:rsid w:val="001B6D7A"/>
    <w:rsid w:val="001B7936"/>
    <w:rsid w:val="001C22FE"/>
    <w:rsid w:val="001D015A"/>
    <w:rsid w:val="001D30C7"/>
    <w:rsid w:val="001D33FA"/>
    <w:rsid w:val="001D36F0"/>
    <w:rsid w:val="001D3DFC"/>
    <w:rsid w:val="001D42DB"/>
    <w:rsid w:val="001D45F5"/>
    <w:rsid w:val="001D5EFC"/>
    <w:rsid w:val="001E02C2"/>
    <w:rsid w:val="001E0A89"/>
    <w:rsid w:val="001E13C0"/>
    <w:rsid w:val="001E1597"/>
    <w:rsid w:val="001E4209"/>
    <w:rsid w:val="001F1D14"/>
    <w:rsid w:val="001F2399"/>
    <w:rsid w:val="001F4D74"/>
    <w:rsid w:val="001F7194"/>
    <w:rsid w:val="001F71BA"/>
    <w:rsid w:val="001F7577"/>
    <w:rsid w:val="002019F3"/>
    <w:rsid w:val="0020207A"/>
    <w:rsid w:val="00202F22"/>
    <w:rsid w:val="00203BB5"/>
    <w:rsid w:val="00203BD4"/>
    <w:rsid w:val="002046F4"/>
    <w:rsid w:val="00206E92"/>
    <w:rsid w:val="00207D22"/>
    <w:rsid w:val="00212C2E"/>
    <w:rsid w:val="0021395D"/>
    <w:rsid w:val="002141AF"/>
    <w:rsid w:val="00216B81"/>
    <w:rsid w:val="00216F2E"/>
    <w:rsid w:val="00217E92"/>
    <w:rsid w:val="00220529"/>
    <w:rsid w:val="002220C9"/>
    <w:rsid w:val="00223FFD"/>
    <w:rsid w:val="00224032"/>
    <w:rsid w:val="00224AF1"/>
    <w:rsid w:val="00224C0C"/>
    <w:rsid w:val="00224E6E"/>
    <w:rsid w:val="00225CEC"/>
    <w:rsid w:val="00225D70"/>
    <w:rsid w:val="00232B0D"/>
    <w:rsid w:val="00233BF3"/>
    <w:rsid w:val="00233E40"/>
    <w:rsid w:val="002368F3"/>
    <w:rsid w:val="00236A37"/>
    <w:rsid w:val="00240576"/>
    <w:rsid w:val="00241313"/>
    <w:rsid w:val="00241AA2"/>
    <w:rsid w:val="00241DC1"/>
    <w:rsid w:val="0024212A"/>
    <w:rsid w:val="00242669"/>
    <w:rsid w:val="00243384"/>
    <w:rsid w:val="002447CA"/>
    <w:rsid w:val="0025080B"/>
    <w:rsid w:val="0025183C"/>
    <w:rsid w:val="00251F32"/>
    <w:rsid w:val="0025264B"/>
    <w:rsid w:val="00252DB1"/>
    <w:rsid w:val="00253ACF"/>
    <w:rsid w:val="00253C9E"/>
    <w:rsid w:val="0025428A"/>
    <w:rsid w:val="002555D2"/>
    <w:rsid w:val="00257294"/>
    <w:rsid w:val="00257978"/>
    <w:rsid w:val="002619DC"/>
    <w:rsid w:val="00263E2B"/>
    <w:rsid w:val="00266D10"/>
    <w:rsid w:val="002676E8"/>
    <w:rsid w:val="00267705"/>
    <w:rsid w:val="00270B59"/>
    <w:rsid w:val="00270DB3"/>
    <w:rsid w:val="002717C9"/>
    <w:rsid w:val="0027235F"/>
    <w:rsid w:val="00274782"/>
    <w:rsid w:val="0027691A"/>
    <w:rsid w:val="00277D20"/>
    <w:rsid w:val="00280730"/>
    <w:rsid w:val="0028081F"/>
    <w:rsid w:val="00281C61"/>
    <w:rsid w:val="00281DB8"/>
    <w:rsid w:val="00285767"/>
    <w:rsid w:val="0028607C"/>
    <w:rsid w:val="002863CE"/>
    <w:rsid w:val="0029038B"/>
    <w:rsid w:val="0029566F"/>
    <w:rsid w:val="002961B5"/>
    <w:rsid w:val="00296B24"/>
    <w:rsid w:val="002A1185"/>
    <w:rsid w:val="002A208F"/>
    <w:rsid w:val="002A498A"/>
    <w:rsid w:val="002A61B7"/>
    <w:rsid w:val="002B01AF"/>
    <w:rsid w:val="002B094E"/>
    <w:rsid w:val="002B1E20"/>
    <w:rsid w:val="002B2A94"/>
    <w:rsid w:val="002B2C8C"/>
    <w:rsid w:val="002B3C6D"/>
    <w:rsid w:val="002B4265"/>
    <w:rsid w:val="002B4919"/>
    <w:rsid w:val="002B4B98"/>
    <w:rsid w:val="002B6F4E"/>
    <w:rsid w:val="002B7650"/>
    <w:rsid w:val="002C06E2"/>
    <w:rsid w:val="002C0E94"/>
    <w:rsid w:val="002C26EB"/>
    <w:rsid w:val="002C6C42"/>
    <w:rsid w:val="002C7D70"/>
    <w:rsid w:val="002D179B"/>
    <w:rsid w:val="002D23B9"/>
    <w:rsid w:val="002D3534"/>
    <w:rsid w:val="002D49F7"/>
    <w:rsid w:val="002D63BF"/>
    <w:rsid w:val="002D64A2"/>
    <w:rsid w:val="002E0400"/>
    <w:rsid w:val="002E0B58"/>
    <w:rsid w:val="002E103D"/>
    <w:rsid w:val="002E1A01"/>
    <w:rsid w:val="002E1A0D"/>
    <w:rsid w:val="002E6173"/>
    <w:rsid w:val="002E6DB6"/>
    <w:rsid w:val="002F002B"/>
    <w:rsid w:val="002F0163"/>
    <w:rsid w:val="002F06AC"/>
    <w:rsid w:val="002F09BA"/>
    <w:rsid w:val="002F46B0"/>
    <w:rsid w:val="002F485A"/>
    <w:rsid w:val="002F5550"/>
    <w:rsid w:val="002F62C4"/>
    <w:rsid w:val="002F7818"/>
    <w:rsid w:val="002F7EC2"/>
    <w:rsid w:val="003006A5"/>
    <w:rsid w:val="003015E0"/>
    <w:rsid w:val="0030207B"/>
    <w:rsid w:val="00303778"/>
    <w:rsid w:val="00303A6E"/>
    <w:rsid w:val="003046FE"/>
    <w:rsid w:val="0030751A"/>
    <w:rsid w:val="00307CF8"/>
    <w:rsid w:val="00307E95"/>
    <w:rsid w:val="00307FEB"/>
    <w:rsid w:val="003128F8"/>
    <w:rsid w:val="00313D42"/>
    <w:rsid w:val="00322E5E"/>
    <w:rsid w:val="00323B17"/>
    <w:rsid w:val="003243A6"/>
    <w:rsid w:val="003247B0"/>
    <w:rsid w:val="0032734F"/>
    <w:rsid w:val="00330918"/>
    <w:rsid w:val="003310D8"/>
    <w:rsid w:val="0033296E"/>
    <w:rsid w:val="003337A9"/>
    <w:rsid w:val="0033431C"/>
    <w:rsid w:val="0033488F"/>
    <w:rsid w:val="00340E70"/>
    <w:rsid w:val="00342F85"/>
    <w:rsid w:val="00347557"/>
    <w:rsid w:val="00352435"/>
    <w:rsid w:val="003529EF"/>
    <w:rsid w:val="00355366"/>
    <w:rsid w:val="003555BB"/>
    <w:rsid w:val="003623C4"/>
    <w:rsid w:val="003629B6"/>
    <w:rsid w:val="00362BFF"/>
    <w:rsid w:val="003640C8"/>
    <w:rsid w:val="00364C11"/>
    <w:rsid w:val="00371225"/>
    <w:rsid w:val="003721AD"/>
    <w:rsid w:val="003747F7"/>
    <w:rsid w:val="00376086"/>
    <w:rsid w:val="003761D9"/>
    <w:rsid w:val="00380608"/>
    <w:rsid w:val="00380E0A"/>
    <w:rsid w:val="0038171D"/>
    <w:rsid w:val="00382546"/>
    <w:rsid w:val="00382EAD"/>
    <w:rsid w:val="00383DC5"/>
    <w:rsid w:val="00385EED"/>
    <w:rsid w:val="003864EF"/>
    <w:rsid w:val="00386A43"/>
    <w:rsid w:val="00390B58"/>
    <w:rsid w:val="00391166"/>
    <w:rsid w:val="00394851"/>
    <w:rsid w:val="00395F41"/>
    <w:rsid w:val="003967DF"/>
    <w:rsid w:val="003A0F06"/>
    <w:rsid w:val="003A156E"/>
    <w:rsid w:val="003A291C"/>
    <w:rsid w:val="003A3DE2"/>
    <w:rsid w:val="003A4860"/>
    <w:rsid w:val="003A4D47"/>
    <w:rsid w:val="003A6435"/>
    <w:rsid w:val="003A7D32"/>
    <w:rsid w:val="003B0E4F"/>
    <w:rsid w:val="003B1966"/>
    <w:rsid w:val="003B221E"/>
    <w:rsid w:val="003B5B25"/>
    <w:rsid w:val="003B60CA"/>
    <w:rsid w:val="003B7BDD"/>
    <w:rsid w:val="003C0CBE"/>
    <w:rsid w:val="003C1344"/>
    <w:rsid w:val="003C3421"/>
    <w:rsid w:val="003C5D0A"/>
    <w:rsid w:val="003D1987"/>
    <w:rsid w:val="003D3431"/>
    <w:rsid w:val="003D3AE8"/>
    <w:rsid w:val="003D69A7"/>
    <w:rsid w:val="003E1308"/>
    <w:rsid w:val="003F07E8"/>
    <w:rsid w:val="003F472F"/>
    <w:rsid w:val="003F79EC"/>
    <w:rsid w:val="00400129"/>
    <w:rsid w:val="004005D9"/>
    <w:rsid w:val="00400A5A"/>
    <w:rsid w:val="00407AE9"/>
    <w:rsid w:val="004120C7"/>
    <w:rsid w:val="0041257F"/>
    <w:rsid w:val="00412690"/>
    <w:rsid w:val="0042193A"/>
    <w:rsid w:val="0042205E"/>
    <w:rsid w:val="004267DE"/>
    <w:rsid w:val="00430ABD"/>
    <w:rsid w:val="00431631"/>
    <w:rsid w:val="00432FD5"/>
    <w:rsid w:val="00434883"/>
    <w:rsid w:val="00434C5D"/>
    <w:rsid w:val="004350F6"/>
    <w:rsid w:val="00435115"/>
    <w:rsid w:val="00441028"/>
    <w:rsid w:val="004426E8"/>
    <w:rsid w:val="00444432"/>
    <w:rsid w:val="00445D0A"/>
    <w:rsid w:val="00450DBC"/>
    <w:rsid w:val="00451896"/>
    <w:rsid w:val="00451B7B"/>
    <w:rsid w:val="0045292A"/>
    <w:rsid w:val="004540ED"/>
    <w:rsid w:val="00454843"/>
    <w:rsid w:val="004564BC"/>
    <w:rsid w:val="004565C7"/>
    <w:rsid w:val="00460176"/>
    <w:rsid w:val="00461D55"/>
    <w:rsid w:val="004627B9"/>
    <w:rsid w:val="00464BF1"/>
    <w:rsid w:val="00465E53"/>
    <w:rsid w:val="00466329"/>
    <w:rsid w:val="00473219"/>
    <w:rsid w:val="004767D2"/>
    <w:rsid w:val="00477DCC"/>
    <w:rsid w:val="00477FFA"/>
    <w:rsid w:val="004813B2"/>
    <w:rsid w:val="00481D66"/>
    <w:rsid w:val="00483579"/>
    <w:rsid w:val="004835F4"/>
    <w:rsid w:val="004836B2"/>
    <w:rsid w:val="00487B6B"/>
    <w:rsid w:val="004919CC"/>
    <w:rsid w:val="004928CB"/>
    <w:rsid w:val="00492941"/>
    <w:rsid w:val="00495AFF"/>
    <w:rsid w:val="00495E14"/>
    <w:rsid w:val="00496183"/>
    <w:rsid w:val="004975D0"/>
    <w:rsid w:val="004A08FC"/>
    <w:rsid w:val="004A3439"/>
    <w:rsid w:val="004B1364"/>
    <w:rsid w:val="004B2C5B"/>
    <w:rsid w:val="004B5104"/>
    <w:rsid w:val="004B5797"/>
    <w:rsid w:val="004B5B94"/>
    <w:rsid w:val="004B6304"/>
    <w:rsid w:val="004B64B3"/>
    <w:rsid w:val="004B6AF3"/>
    <w:rsid w:val="004C0179"/>
    <w:rsid w:val="004C0CEF"/>
    <w:rsid w:val="004C0D41"/>
    <w:rsid w:val="004C10F1"/>
    <w:rsid w:val="004C3F71"/>
    <w:rsid w:val="004C61F5"/>
    <w:rsid w:val="004D14C1"/>
    <w:rsid w:val="004D2C46"/>
    <w:rsid w:val="004D3578"/>
    <w:rsid w:val="004D4D9F"/>
    <w:rsid w:val="004D6BA6"/>
    <w:rsid w:val="004E13F9"/>
    <w:rsid w:val="004E2983"/>
    <w:rsid w:val="004E2ED7"/>
    <w:rsid w:val="004E3BA4"/>
    <w:rsid w:val="004E4E81"/>
    <w:rsid w:val="004E4E9F"/>
    <w:rsid w:val="004E5FED"/>
    <w:rsid w:val="004E67DB"/>
    <w:rsid w:val="004F1934"/>
    <w:rsid w:val="004F1E84"/>
    <w:rsid w:val="00500925"/>
    <w:rsid w:val="005013FE"/>
    <w:rsid w:val="005042D1"/>
    <w:rsid w:val="00506098"/>
    <w:rsid w:val="00506161"/>
    <w:rsid w:val="0050659B"/>
    <w:rsid w:val="00506889"/>
    <w:rsid w:val="00510050"/>
    <w:rsid w:val="00512D6B"/>
    <w:rsid w:val="00512FF6"/>
    <w:rsid w:val="005153F7"/>
    <w:rsid w:val="0052216B"/>
    <w:rsid w:val="005224C1"/>
    <w:rsid w:val="0052338B"/>
    <w:rsid w:val="00523D4C"/>
    <w:rsid w:val="00524713"/>
    <w:rsid w:val="005275F9"/>
    <w:rsid w:val="00530F68"/>
    <w:rsid w:val="0053153F"/>
    <w:rsid w:val="00532F2D"/>
    <w:rsid w:val="005339D0"/>
    <w:rsid w:val="00534E75"/>
    <w:rsid w:val="00536954"/>
    <w:rsid w:val="005379BC"/>
    <w:rsid w:val="00540606"/>
    <w:rsid w:val="00541870"/>
    <w:rsid w:val="0054297E"/>
    <w:rsid w:val="005436EC"/>
    <w:rsid w:val="005447C5"/>
    <w:rsid w:val="00544A37"/>
    <w:rsid w:val="005455B0"/>
    <w:rsid w:val="005504A7"/>
    <w:rsid w:val="0055263D"/>
    <w:rsid w:val="00552E2B"/>
    <w:rsid w:val="0055303C"/>
    <w:rsid w:val="00553369"/>
    <w:rsid w:val="00553731"/>
    <w:rsid w:val="00554574"/>
    <w:rsid w:val="0055553F"/>
    <w:rsid w:val="0056150F"/>
    <w:rsid w:val="005678E0"/>
    <w:rsid w:val="005729F4"/>
    <w:rsid w:val="00572E82"/>
    <w:rsid w:val="005754C3"/>
    <w:rsid w:val="00575630"/>
    <w:rsid w:val="00575C7F"/>
    <w:rsid w:val="00576F58"/>
    <w:rsid w:val="00576F5E"/>
    <w:rsid w:val="005773B2"/>
    <w:rsid w:val="00577D19"/>
    <w:rsid w:val="0058062A"/>
    <w:rsid w:val="005834AE"/>
    <w:rsid w:val="00585920"/>
    <w:rsid w:val="0058666A"/>
    <w:rsid w:val="00586BEF"/>
    <w:rsid w:val="005875EC"/>
    <w:rsid w:val="00590434"/>
    <w:rsid w:val="00594050"/>
    <w:rsid w:val="0059432A"/>
    <w:rsid w:val="0059452A"/>
    <w:rsid w:val="005956E9"/>
    <w:rsid w:val="005963CF"/>
    <w:rsid w:val="005A0ABD"/>
    <w:rsid w:val="005A163F"/>
    <w:rsid w:val="005A2637"/>
    <w:rsid w:val="005A37E5"/>
    <w:rsid w:val="005A4497"/>
    <w:rsid w:val="005A5BBA"/>
    <w:rsid w:val="005A5F08"/>
    <w:rsid w:val="005A60B4"/>
    <w:rsid w:val="005A7A64"/>
    <w:rsid w:val="005B0719"/>
    <w:rsid w:val="005B0E8E"/>
    <w:rsid w:val="005B2E22"/>
    <w:rsid w:val="005B31D7"/>
    <w:rsid w:val="005B485C"/>
    <w:rsid w:val="005B4E77"/>
    <w:rsid w:val="005B5427"/>
    <w:rsid w:val="005B56F7"/>
    <w:rsid w:val="005B5CA8"/>
    <w:rsid w:val="005B680B"/>
    <w:rsid w:val="005B6889"/>
    <w:rsid w:val="005B68FA"/>
    <w:rsid w:val="005B7492"/>
    <w:rsid w:val="005B7E46"/>
    <w:rsid w:val="005C0C18"/>
    <w:rsid w:val="005C0D63"/>
    <w:rsid w:val="005C41F6"/>
    <w:rsid w:val="005C48C1"/>
    <w:rsid w:val="005C7059"/>
    <w:rsid w:val="005D189A"/>
    <w:rsid w:val="005D4DA7"/>
    <w:rsid w:val="005D585C"/>
    <w:rsid w:val="005D6963"/>
    <w:rsid w:val="005E3212"/>
    <w:rsid w:val="005E45D8"/>
    <w:rsid w:val="005E4855"/>
    <w:rsid w:val="005E7AEF"/>
    <w:rsid w:val="005F18D4"/>
    <w:rsid w:val="005F2383"/>
    <w:rsid w:val="005F44A0"/>
    <w:rsid w:val="005F48A6"/>
    <w:rsid w:val="005F57A1"/>
    <w:rsid w:val="005F65A1"/>
    <w:rsid w:val="005F7741"/>
    <w:rsid w:val="00600788"/>
    <w:rsid w:val="00600BA3"/>
    <w:rsid w:val="00605C5D"/>
    <w:rsid w:val="006106F0"/>
    <w:rsid w:val="006110E7"/>
    <w:rsid w:val="00612DC2"/>
    <w:rsid w:val="006135FD"/>
    <w:rsid w:val="00613A8D"/>
    <w:rsid w:val="006212F9"/>
    <w:rsid w:val="00622494"/>
    <w:rsid w:val="00624A82"/>
    <w:rsid w:val="0062747C"/>
    <w:rsid w:val="0062751F"/>
    <w:rsid w:val="0063253B"/>
    <w:rsid w:val="00633136"/>
    <w:rsid w:val="00636E70"/>
    <w:rsid w:val="0064020E"/>
    <w:rsid w:val="006410E2"/>
    <w:rsid w:val="0064160C"/>
    <w:rsid w:val="0064209A"/>
    <w:rsid w:val="006429DE"/>
    <w:rsid w:val="00645BA9"/>
    <w:rsid w:val="00646B73"/>
    <w:rsid w:val="006501CB"/>
    <w:rsid w:val="00650A3C"/>
    <w:rsid w:val="00651415"/>
    <w:rsid w:val="00651B66"/>
    <w:rsid w:val="00651B79"/>
    <w:rsid w:val="00652695"/>
    <w:rsid w:val="006529D7"/>
    <w:rsid w:val="00652DCE"/>
    <w:rsid w:val="006545F8"/>
    <w:rsid w:val="00654F8C"/>
    <w:rsid w:val="00656312"/>
    <w:rsid w:val="0066135D"/>
    <w:rsid w:val="00661A5F"/>
    <w:rsid w:val="00663C36"/>
    <w:rsid w:val="00667012"/>
    <w:rsid w:val="00673DDB"/>
    <w:rsid w:val="00675F3B"/>
    <w:rsid w:val="0067671B"/>
    <w:rsid w:val="006768F0"/>
    <w:rsid w:val="00676C10"/>
    <w:rsid w:val="00677078"/>
    <w:rsid w:val="006775B7"/>
    <w:rsid w:val="00677C07"/>
    <w:rsid w:val="006831FB"/>
    <w:rsid w:val="00684F62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6601"/>
    <w:rsid w:val="006B0A42"/>
    <w:rsid w:val="006B19DF"/>
    <w:rsid w:val="006B2EA9"/>
    <w:rsid w:val="006B3A13"/>
    <w:rsid w:val="006B3CB5"/>
    <w:rsid w:val="006C0A70"/>
    <w:rsid w:val="006C2008"/>
    <w:rsid w:val="006C2696"/>
    <w:rsid w:val="006C4076"/>
    <w:rsid w:val="006C4193"/>
    <w:rsid w:val="006C61E8"/>
    <w:rsid w:val="006D01AF"/>
    <w:rsid w:val="006D1884"/>
    <w:rsid w:val="006D1E56"/>
    <w:rsid w:val="006D65EC"/>
    <w:rsid w:val="006E074A"/>
    <w:rsid w:val="006E1C67"/>
    <w:rsid w:val="006E26DC"/>
    <w:rsid w:val="006E52B8"/>
    <w:rsid w:val="006E675F"/>
    <w:rsid w:val="006E68CA"/>
    <w:rsid w:val="006F32FB"/>
    <w:rsid w:val="006F3E66"/>
    <w:rsid w:val="00700FD6"/>
    <w:rsid w:val="00705D83"/>
    <w:rsid w:val="0071201C"/>
    <w:rsid w:val="00712177"/>
    <w:rsid w:val="00713CD7"/>
    <w:rsid w:val="00714847"/>
    <w:rsid w:val="00717F9B"/>
    <w:rsid w:val="00720CD3"/>
    <w:rsid w:val="0072112F"/>
    <w:rsid w:val="007253C3"/>
    <w:rsid w:val="00730047"/>
    <w:rsid w:val="0073009C"/>
    <w:rsid w:val="007316BB"/>
    <w:rsid w:val="00731B6F"/>
    <w:rsid w:val="00731E05"/>
    <w:rsid w:val="00736FB9"/>
    <w:rsid w:val="00737562"/>
    <w:rsid w:val="007424FC"/>
    <w:rsid w:val="007443AD"/>
    <w:rsid w:val="007540ED"/>
    <w:rsid w:val="00754B1D"/>
    <w:rsid w:val="00756671"/>
    <w:rsid w:val="00762254"/>
    <w:rsid w:val="0076333E"/>
    <w:rsid w:val="00764BFF"/>
    <w:rsid w:val="00767284"/>
    <w:rsid w:val="00771B91"/>
    <w:rsid w:val="007737E3"/>
    <w:rsid w:val="007748DA"/>
    <w:rsid w:val="0077685A"/>
    <w:rsid w:val="00776A31"/>
    <w:rsid w:val="0078013F"/>
    <w:rsid w:val="007802A4"/>
    <w:rsid w:val="007824F4"/>
    <w:rsid w:val="0078345F"/>
    <w:rsid w:val="00783AB1"/>
    <w:rsid w:val="00784109"/>
    <w:rsid w:val="00785356"/>
    <w:rsid w:val="00785FC5"/>
    <w:rsid w:val="0078631B"/>
    <w:rsid w:val="00786A1E"/>
    <w:rsid w:val="0078760B"/>
    <w:rsid w:val="00791A2B"/>
    <w:rsid w:val="00792EE9"/>
    <w:rsid w:val="00794BD8"/>
    <w:rsid w:val="00795445"/>
    <w:rsid w:val="0079572A"/>
    <w:rsid w:val="00795D79"/>
    <w:rsid w:val="0079732B"/>
    <w:rsid w:val="007A1121"/>
    <w:rsid w:val="007A1122"/>
    <w:rsid w:val="007A15A6"/>
    <w:rsid w:val="007A2531"/>
    <w:rsid w:val="007A278E"/>
    <w:rsid w:val="007B0955"/>
    <w:rsid w:val="007B11F2"/>
    <w:rsid w:val="007B1851"/>
    <w:rsid w:val="007B232E"/>
    <w:rsid w:val="007B358E"/>
    <w:rsid w:val="007B3C38"/>
    <w:rsid w:val="007B5E2F"/>
    <w:rsid w:val="007B6635"/>
    <w:rsid w:val="007C0099"/>
    <w:rsid w:val="007C37DF"/>
    <w:rsid w:val="007C6288"/>
    <w:rsid w:val="007C6507"/>
    <w:rsid w:val="007D05D4"/>
    <w:rsid w:val="007D06A5"/>
    <w:rsid w:val="007D085C"/>
    <w:rsid w:val="007D0908"/>
    <w:rsid w:val="007D1100"/>
    <w:rsid w:val="007D2280"/>
    <w:rsid w:val="007D3EF7"/>
    <w:rsid w:val="007D6B5F"/>
    <w:rsid w:val="007E1111"/>
    <w:rsid w:val="007E1865"/>
    <w:rsid w:val="007E5614"/>
    <w:rsid w:val="007F0754"/>
    <w:rsid w:val="007F3198"/>
    <w:rsid w:val="007F36AF"/>
    <w:rsid w:val="007F515C"/>
    <w:rsid w:val="007F5D81"/>
    <w:rsid w:val="008009B8"/>
    <w:rsid w:val="00800CEA"/>
    <w:rsid w:val="00807AD4"/>
    <w:rsid w:val="008104E0"/>
    <w:rsid w:val="00812DCE"/>
    <w:rsid w:val="0081387C"/>
    <w:rsid w:val="00817296"/>
    <w:rsid w:val="00817512"/>
    <w:rsid w:val="00822194"/>
    <w:rsid w:val="00822D26"/>
    <w:rsid w:val="008245C1"/>
    <w:rsid w:val="008269F5"/>
    <w:rsid w:val="00830105"/>
    <w:rsid w:val="0083053E"/>
    <w:rsid w:val="00830CE8"/>
    <w:rsid w:val="008317F6"/>
    <w:rsid w:val="00831B5E"/>
    <w:rsid w:val="00831F36"/>
    <w:rsid w:val="0083256C"/>
    <w:rsid w:val="0083338E"/>
    <w:rsid w:val="00833A44"/>
    <w:rsid w:val="0083519D"/>
    <w:rsid w:val="00843016"/>
    <w:rsid w:val="00844420"/>
    <w:rsid w:val="00845A34"/>
    <w:rsid w:val="00846E1E"/>
    <w:rsid w:val="00850445"/>
    <w:rsid w:val="00850C6E"/>
    <w:rsid w:val="008543C2"/>
    <w:rsid w:val="008546D7"/>
    <w:rsid w:val="0085594F"/>
    <w:rsid w:val="0085766D"/>
    <w:rsid w:val="008630EC"/>
    <w:rsid w:val="00864888"/>
    <w:rsid w:val="00866791"/>
    <w:rsid w:val="00866B63"/>
    <w:rsid w:val="00870EAA"/>
    <w:rsid w:val="00874FE0"/>
    <w:rsid w:val="008769D5"/>
    <w:rsid w:val="008824B5"/>
    <w:rsid w:val="00882EE9"/>
    <w:rsid w:val="00883131"/>
    <w:rsid w:val="008834B2"/>
    <w:rsid w:val="00883A3E"/>
    <w:rsid w:val="008848CF"/>
    <w:rsid w:val="00885B2F"/>
    <w:rsid w:val="008866ED"/>
    <w:rsid w:val="008868A5"/>
    <w:rsid w:val="0089080A"/>
    <w:rsid w:val="00890A80"/>
    <w:rsid w:val="008926E5"/>
    <w:rsid w:val="008926F3"/>
    <w:rsid w:val="00892DB3"/>
    <w:rsid w:val="00893533"/>
    <w:rsid w:val="00894FAD"/>
    <w:rsid w:val="008955F6"/>
    <w:rsid w:val="008957C5"/>
    <w:rsid w:val="00896014"/>
    <w:rsid w:val="0089614B"/>
    <w:rsid w:val="00896556"/>
    <w:rsid w:val="00896BE6"/>
    <w:rsid w:val="00896FD6"/>
    <w:rsid w:val="00897BD9"/>
    <w:rsid w:val="008A04D3"/>
    <w:rsid w:val="008A0C76"/>
    <w:rsid w:val="008A4605"/>
    <w:rsid w:val="008A618B"/>
    <w:rsid w:val="008A663F"/>
    <w:rsid w:val="008B05F2"/>
    <w:rsid w:val="008B0636"/>
    <w:rsid w:val="008B1531"/>
    <w:rsid w:val="008B2EE5"/>
    <w:rsid w:val="008B3C82"/>
    <w:rsid w:val="008B41E0"/>
    <w:rsid w:val="008B5C5C"/>
    <w:rsid w:val="008B64C9"/>
    <w:rsid w:val="008C1795"/>
    <w:rsid w:val="008C4597"/>
    <w:rsid w:val="008C4B0D"/>
    <w:rsid w:val="008C7511"/>
    <w:rsid w:val="008C75D3"/>
    <w:rsid w:val="008C79A2"/>
    <w:rsid w:val="008D01F6"/>
    <w:rsid w:val="008D1E94"/>
    <w:rsid w:val="008D373A"/>
    <w:rsid w:val="008D484C"/>
    <w:rsid w:val="008D53F2"/>
    <w:rsid w:val="008D68A5"/>
    <w:rsid w:val="008E19F3"/>
    <w:rsid w:val="008E3B44"/>
    <w:rsid w:val="008E58ED"/>
    <w:rsid w:val="008E6712"/>
    <w:rsid w:val="008E6AA0"/>
    <w:rsid w:val="008F0A7A"/>
    <w:rsid w:val="008F2226"/>
    <w:rsid w:val="008F25C5"/>
    <w:rsid w:val="008F4980"/>
    <w:rsid w:val="008F6707"/>
    <w:rsid w:val="008F6AAF"/>
    <w:rsid w:val="008F715C"/>
    <w:rsid w:val="008F7A61"/>
    <w:rsid w:val="00900951"/>
    <w:rsid w:val="00901813"/>
    <w:rsid w:val="00903020"/>
    <w:rsid w:val="00906176"/>
    <w:rsid w:val="0090637E"/>
    <w:rsid w:val="00906E67"/>
    <w:rsid w:val="00914002"/>
    <w:rsid w:val="00915ADA"/>
    <w:rsid w:val="009161BE"/>
    <w:rsid w:val="00917F21"/>
    <w:rsid w:val="009213AE"/>
    <w:rsid w:val="009222C9"/>
    <w:rsid w:val="00922BC9"/>
    <w:rsid w:val="0092316F"/>
    <w:rsid w:val="00926825"/>
    <w:rsid w:val="009268FC"/>
    <w:rsid w:val="00926A98"/>
    <w:rsid w:val="00932625"/>
    <w:rsid w:val="00932ACD"/>
    <w:rsid w:val="00933256"/>
    <w:rsid w:val="009340FD"/>
    <w:rsid w:val="00934141"/>
    <w:rsid w:val="009344C2"/>
    <w:rsid w:val="009345C9"/>
    <w:rsid w:val="0093538A"/>
    <w:rsid w:val="00941295"/>
    <w:rsid w:val="009434D0"/>
    <w:rsid w:val="0094705C"/>
    <w:rsid w:val="009514FE"/>
    <w:rsid w:val="00952F66"/>
    <w:rsid w:val="00957B41"/>
    <w:rsid w:val="00961519"/>
    <w:rsid w:val="00962FD2"/>
    <w:rsid w:val="009632AA"/>
    <w:rsid w:val="009644A2"/>
    <w:rsid w:val="00967162"/>
    <w:rsid w:val="009715F0"/>
    <w:rsid w:val="00971DE7"/>
    <w:rsid w:val="00973C62"/>
    <w:rsid w:val="0097419E"/>
    <w:rsid w:val="00974A97"/>
    <w:rsid w:val="0097696C"/>
    <w:rsid w:val="00977B41"/>
    <w:rsid w:val="00977D76"/>
    <w:rsid w:val="009808FE"/>
    <w:rsid w:val="00982987"/>
    <w:rsid w:val="00985386"/>
    <w:rsid w:val="00990318"/>
    <w:rsid w:val="0099489F"/>
    <w:rsid w:val="00994B64"/>
    <w:rsid w:val="009955B3"/>
    <w:rsid w:val="00996D72"/>
    <w:rsid w:val="009A4D99"/>
    <w:rsid w:val="009A53B7"/>
    <w:rsid w:val="009A544A"/>
    <w:rsid w:val="009A69B1"/>
    <w:rsid w:val="009A6CDB"/>
    <w:rsid w:val="009B0A81"/>
    <w:rsid w:val="009B0CA9"/>
    <w:rsid w:val="009B301F"/>
    <w:rsid w:val="009B52C2"/>
    <w:rsid w:val="009B604B"/>
    <w:rsid w:val="009C0ECA"/>
    <w:rsid w:val="009C283B"/>
    <w:rsid w:val="009C2B04"/>
    <w:rsid w:val="009C3544"/>
    <w:rsid w:val="009C45BA"/>
    <w:rsid w:val="009D2D28"/>
    <w:rsid w:val="009D4B75"/>
    <w:rsid w:val="009D6924"/>
    <w:rsid w:val="009D7AFB"/>
    <w:rsid w:val="009E055E"/>
    <w:rsid w:val="009E0C76"/>
    <w:rsid w:val="009E22C3"/>
    <w:rsid w:val="009E250D"/>
    <w:rsid w:val="009E2724"/>
    <w:rsid w:val="009E2833"/>
    <w:rsid w:val="009E317D"/>
    <w:rsid w:val="009E3B52"/>
    <w:rsid w:val="009E3D89"/>
    <w:rsid w:val="009E5B43"/>
    <w:rsid w:val="009E6B59"/>
    <w:rsid w:val="009F097B"/>
    <w:rsid w:val="009F0DD5"/>
    <w:rsid w:val="009F2CB2"/>
    <w:rsid w:val="009F2CEE"/>
    <w:rsid w:val="009F3A56"/>
    <w:rsid w:val="009F59EE"/>
    <w:rsid w:val="009F5CD5"/>
    <w:rsid w:val="009F66D0"/>
    <w:rsid w:val="00A02D45"/>
    <w:rsid w:val="00A0581C"/>
    <w:rsid w:val="00A069E2"/>
    <w:rsid w:val="00A073C7"/>
    <w:rsid w:val="00A07431"/>
    <w:rsid w:val="00A07A9F"/>
    <w:rsid w:val="00A11B93"/>
    <w:rsid w:val="00A11C90"/>
    <w:rsid w:val="00A12821"/>
    <w:rsid w:val="00A12DE6"/>
    <w:rsid w:val="00A14FC9"/>
    <w:rsid w:val="00A2066F"/>
    <w:rsid w:val="00A21C37"/>
    <w:rsid w:val="00A23C45"/>
    <w:rsid w:val="00A25B10"/>
    <w:rsid w:val="00A26B19"/>
    <w:rsid w:val="00A33653"/>
    <w:rsid w:val="00A36260"/>
    <w:rsid w:val="00A36D79"/>
    <w:rsid w:val="00A37A20"/>
    <w:rsid w:val="00A37AD0"/>
    <w:rsid w:val="00A4508B"/>
    <w:rsid w:val="00A4618A"/>
    <w:rsid w:val="00A53205"/>
    <w:rsid w:val="00A5429B"/>
    <w:rsid w:val="00A553A9"/>
    <w:rsid w:val="00A61F80"/>
    <w:rsid w:val="00A62566"/>
    <w:rsid w:val="00A62CCA"/>
    <w:rsid w:val="00A641DB"/>
    <w:rsid w:val="00A6536F"/>
    <w:rsid w:val="00A65B9D"/>
    <w:rsid w:val="00A70932"/>
    <w:rsid w:val="00A719A5"/>
    <w:rsid w:val="00A72732"/>
    <w:rsid w:val="00A72A74"/>
    <w:rsid w:val="00A72F83"/>
    <w:rsid w:val="00A7372B"/>
    <w:rsid w:val="00A74A1E"/>
    <w:rsid w:val="00A7509B"/>
    <w:rsid w:val="00A7796E"/>
    <w:rsid w:val="00A77F44"/>
    <w:rsid w:val="00A803EF"/>
    <w:rsid w:val="00A86656"/>
    <w:rsid w:val="00A87B14"/>
    <w:rsid w:val="00A93638"/>
    <w:rsid w:val="00A95DA9"/>
    <w:rsid w:val="00A97D07"/>
    <w:rsid w:val="00AA0737"/>
    <w:rsid w:val="00AA218A"/>
    <w:rsid w:val="00AA48E7"/>
    <w:rsid w:val="00AB0673"/>
    <w:rsid w:val="00AB3D30"/>
    <w:rsid w:val="00AB4794"/>
    <w:rsid w:val="00AB4842"/>
    <w:rsid w:val="00AB7BAF"/>
    <w:rsid w:val="00AB7CCF"/>
    <w:rsid w:val="00AC2D2E"/>
    <w:rsid w:val="00AC614D"/>
    <w:rsid w:val="00AC7F1C"/>
    <w:rsid w:val="00AD0F3F"/>
    <w:rsid w:val="00AD2AC3"/>
    <w:rsid w:val="00AD4EA3"/>
    <w:rsid w:val="00AD7FC9"/>
    <w:rsid w:val="00AE05ED"/>
    <w:rsid w:val="00AE44CB"/>
    <w:rsid w:val="00AE55D4"/>
    <w:rsid w:val="00AE72D7"/>
    <w:rsid w:val="00AF05BB"/>
    <w:rsid w:val="00AF1038"/>
    <w:rsid w:val="00AF113B"/>
    <w:rsid w:val="00AF2633"/>
    <w:rsid w:val="00AF74AF"/>
    <w:rsid w:val="00B01F39"/>
    <w:rsid w:val="00B037AF"/>
    <w:rsid w:val="00B05862"/>
    <w:rsid w:val="00B05A4B"/>
    <w:rsid w:val="00B07D3B"/>
    <w:rsid w:val="00B11974"/>
    <w:rsid w:val="00B1264B"/>
    <w:rsid w:val="00B12CF8"/>
    <w:rsid w:val="00B15519"/>
    <w:rsid w:val="00B15922"/>
    <w:rsid w:val="00B2198E"/>
    <w:rsid w:val="00B244B9"/>
    <w:rsid w:val="00B24985"/>
    <w:rsid w:val="00B27178"/>
    <w:rsid w:val="00B277DA"/>
    <w:rsid w:val="00B30A9E"/>
    <w:rsid w:val="00B3265A"/>
    <w:rsid w:val="00B32817"/>
    <w:rsid w:val="00B33E8E"/>
    <w:rsid w:val="00B346ED"/>
    <w:rsid w:val="00B36901"/>
    <w:rsid w:val="00B37F41"/>
    <w:rsid w:val="00B4245F"/>
    <w:rsid w:val="00B43ABC"/>
    <w:rsid w:val="00B4468E"/>
    <w:rsid w:val="00B470FB"/>
    <w:rsid w:val="00B479EB"/>
    <w:rsid w:val="00B507D2"/>
    <w:rsid w:val="00B51125"/>
    <w:rsid w:val="00B52CDF"/>
    <w:rsid w:val="00B65A3B"/>
    <w:rsid w:val="00B66DE0"/>
    <w:rsid w:val="00B72652"/>
    <w:rsid w:val="00B8133C"/>
    <w:rsid w:val="00B815A3"/>
    <w:rsid w:val="00B85C55"/>
    <w:rsid w:val="00B85CBF"/>
    <w:rsid w:val="00B90B23"/>
    <w:rsid w:val="00B91CEE"/>
    <w:rsid w:val="00B94777"/>
    <w:rsid w:val="00B9592E"/>
    <w:rsid w:val="00B95BB2"/>
    <w:rsid w:val="00B95EBA"/>
    <w:rsid w:val="00B96E03"/>
    <w:rsid w:val="00B97985"/>
    <w:rsid w:val="00BA0BC1"/>
    <w:rsid w:val="00BA1D82"/>
    <w:rsid w:val="00BA1FA3"/>
    <w:rsid w:val="00BA23D8"/>
    <w:rsid w:val="00BA27DA"/>
    <w:rsid w:val="00BA2A8A"/>
    <w:rsid w:val="00BA4230"/>
    <w:rsid w:val="00BA45FD"/>
    <w:rsid w:val="00BA5B9C"/>
    <w:rsid w:val="00BA7722"/>
    <w:rsid w:val="00BB4512"/>
    <w:rsid w:val="00BB4D49"/>
    <w:rsid w:val="00BB51F4"/>
    <w:rsid w:val="00BB56EB"/>
    <w:rsid w:val="00BB58F0"/>
    <w:rsid w:val="00BB6439"/>
    <w:rsid w:val="00BB675F"/>
    <w:rsid w:val="00BC133F"/>
    <w:rsid w:val="00BC1530"/>
    <w:rsid w:val="00BC1D75"/>
    <w:rsid w:val="00BC1D83"/>
    <w:rsid w:val="00BD05E4"/>
    <w:rsid w:val="00BD0936"/>
    <w:rsid w:val="00BD11E2"/>
    <w:rsid w:val="00BD17B0"/>
    <w:rsid w:val="00BD3267"/>
    <w:rsid w:val="00BD3715"/>
    <w:rsid w:val="00BD4630"/>
    <w:rsid w:val="00BD4EBD"/>
    <w:rsid w:val="00BD59F0"/>
    <w:rsid w:val="00BD5A47"/>
    <w:rsid w:val="00BD6E76"/>
    <w:rsid w:val="00BD702E"/>
    <w:rsid w:val="00BE07F9"/>
    <w:rsid w:val="00BE6717"/>
    <w:rsid w:val="00BF1148"/>
    <w:rsid w:val="00BF1811"/>
    <w:rsid w:val="00BF36AE"/>
    <w:rsid w:val="00BF4092"/>
    <w:rsid w:val="00BF44F1"/>
    <w:rsid w:val="00BF4CD9"/>
    <w:rsid w:val="00BF688B"/>
    <w:rsid w:val="00C00EEF"/>
    <w:rsid w:val="00C02E39"/>
    <w:rsid w:val="00C0301A"/>
    <w:rsid w:val="00C04F1A"/>
    <w:rsid w:val="00C05CCC"/>
    <w:rsid w:val="00C07088"/>
    <w:rsid w:val="00C07D5F"/>
    <w:rsid w:val="00C07F35"/>
    <w:rsid w:val="00C15993"/>
    <w:rsid w:val="00C17C49"/>
    <w:rsid w:val="00C21F84"/>
    <w:rsid w:val="00C22B1C"/>
    <w:rsid w:val="00C23E32"/>
    <w:rsid w:val="00C24B73"/>
    <w:rsid w:val="00C2555B"/>
    <w:rsid w:val="00C26D3E"/>
    <w:rsid w:val="00C30EA3"/>
    <w:rsid w:val="00C31E67"/>
    <w:rsid w:val="00C325BB"/>
    <w:rsid w:val="00C33A4A"/>
    <w:rsid w:val="00C36E55"/>
    <w:rsid w:val="00C4086A"/>
    <w:rsid w:val="00C42CA5"/>
    <w:rsid w:val="00C42FAF"/>
    <w:rsid w:val="00C456DD"/>
    <w:rsid w:val="00C47E7D"/>
    <w:rsid w:val="00C52DA0"/>
    <w:rsid w:val="00C53031"/>
    <w:rsid w:val="00C568D7"/>
    <w:rsid w:val="00C56AD1"/>
    <w:rsid w:val="00C60BBC"/>
    <w:rsid w:val="00C6365D"/>
    <w:rsid w:val="00C6644B"/>
    <w:rsid w:val="00C668FF"/>
    <w:rsid w:val="00C67861"/>
    <w:rsid w:val="00C70A05"/>
    <w:rsid w:val="00C726D8"/>
    <w:rsid w:val="00C7532A"/>
    <w:rsid w:val="00C7663D"/>
    <w:rsid w:val="00C779DC"/>
    <w:rsid w:val="00C80ADA"/>
    <w:rsid w:val="00C81DF4"/>
    <w:rsid w:val="00C83132"/>
    <w:rsid w:val="00C864DC"/>
    <w:rsid w:val="00C908E5"/>
    <w:rsid w:val="00C9118F"/>
    <w:rsid w:val="00C9156E"/>
    <w:rsid w:val="00C947C0"/>
    <w:rsid w:val="00C947CE"/>
    <w:rsid w:val="00C95072"/>
    <w:rsid w:val="00C95F04"/>
    <w:rsid w:val="00C97E6F"/>
    <w:rsid w:val="00CA079E"/>
    <w:rsid w:val="00CA135D"/>
    <w:rsid w:val="00CA1722"/>
    <w:rsid w:val="00CA1806"/>
    <w:rsid w:val="00CA22D8"/>
    <w:rsid w:val="00CA5872"/>
    <w:rsid w:val="00CA78F9"/>
    <w:rsid w:val="00CA7CAF"/>
    <w:rsid w:val="00CB0499"/>
    <w:rsid w:val="00CB06F8"/>
    <w:rsid w:val="00CB08B5"/>
    <w:rsid w:val="00CB18B1"/>
    <w:rsid w:val="00CB2736"/>
    <w:rsid w:val="00CB38CA"/>
    <w:rsid w:val="00CB5712"/>
    <w:rsid w:val="00CB6969"/>
    <w:rsid w:val="00CB6F2B"/>
    <w:rsid w:val="00CB7254"/>
    <w:rsid w:val="00CC0CB0"/>
    <w:rsid w:val="00CC1067"/>
    <w:rsid w:val="00CC3D3D"/>
    <w:rsid w:val="00CC3DF9"/>
    <w:rsid w:val="00CC65C5"/>
    <w:rsid w:val="00CC73AB"/>
    <w:rsid w:val="00CD0325"/>
    <w:rsid w:val="00CD12BC"/>
    <w:rsid w:val="00CD32FA"/>
    <w:rsid w:val="00CD3324"/>
    <w:rsid w:val="00CD46EA"/>
    <w:rsid w:val="00CD4A18"/>
    <w:rsid w:val="00CD575C"/>
    <w:rsid w:val="00CD6257"/>
    <w:rsid w:val="00CD6E1E"/>
    <w:rsid w:val="00CD7A9C"/>
    <w:rsid w:val="00CE0770"/>
    <w:rsid w:val="00CE0BEA"/>
    <w:rsid w:val="00CE1E44"/>
    <w:rsid w:val="00CE37D5"/>
    <w:rsid w:val="00CE5086"/>
    <w:rsid w:val="00CE6C6E"/>
    <w:rsid w:val="00CE76FD"/>
    <w:rsid w:val="00CE7991"/>
    <w:rsid w:val="00CF177F"/>
    <w:rsid w:val="00CF2033"/>
    <w:rsid w:val="00CF5DF2"/>
    <w:rsid w:val="00CF6C98"/>
    <w:rsid w:val="00D0061B"/>
    <w:rsid w:val="00D012CF"/>
    <w:rsid w:val="00D016C3"/>
    <w:rsid w:val="00D01832"/>
    <w:rsid w:val="00D01DC0"/>
    <w:rsid w:val="00D02C28"/>
    <w:rsid w:val="00D02E81"/>
    <w:rsid w:val="00D0526B"/>
    <w:rsid w:val="00D07AA2"/>
    <w:rsid w:val="00D1081A"/>
    <w:rsid w:val="00D15569"/>
    <w:rsid w:val="00D15619"/>
    <w:rsid w:val="00D15A44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1337"/>
    <w:rsid w:val="00D422E9"/>
    <w:rsid w:val="00D47B55"/>
    <w:rsid w:val="00D47B8A"/>
    <w:rsid w:val="00D50703"/>
    <w:rsid w:val="00D531E4"/>
    <w:rsid w:val="00D53C47"/>
    <w:rsid w:val="00D53E59"/>
    <w:rsid w:val="00D55534"/>
    <w:rsid w:val="00D558AA"/>
    <w:rsid w:val="00D60057"/>
    <w:rsid w:val="00D60444"/>
    <w:rsid w:val="00D605B1"/>
    <w:rsid w:val="00D60D98"/>
    <w:rsid w:val="00D6181D"/>
    <w:rsid w:val="00D61D5F"/>
    <w:rsid w:val="00D61FAA"/>
    <w:rsid w:val="00D62038"/>
    <w:rsid w:val="00D628D2"/>
    <w:rsid w:val="00D62FEC"/>
    <w:rsid w:val="00D639EE"/>
    <w:rsid w:val="00D65C4E"/>
    <w:rsid w:val="00D6662D"/>
    <w:rsid w:val="00D67EA6"/>
    <w:rsid w:val="00D71C06"/>
    <w:rsid w:val="00D71EA0"/>
    <w:rsid w:val="00D72152"/>
    <w:rsid w:val="00D72157"/>
    <w:rsid w:val="00D721F1"/>
    <w:rsid w:val="00D73F33"/>
    <w:rsid w:val="00D74A93"/>
    <w:rsid w:val="00D76337"/>
    <w:rsid w:val="00D77A56"/>
    <w:rsid w:val="00D80B6D"/>
    <w:rsid w:val="00D80C55"/>
    <w:rsid w:val="00D80F78"/>
    <w:rsid w:val="00D8120C"/>
    <w:rsid w:val="00D84488"/>
    <w:rsid w:val="00D844C8"/>
    <w:rsid w:val="00D84B7D"/>
    <w:rsid w:val="00D84F78"/>
    <w:rsid w:val="00D8513A"/>
    <w:rsid w:val="00D85BBB"/>
    <w:rsid w:val="00D85FB4"/>
    <w:rsid w:val="00D879CA"/>
    <w:rsid w:val="00D906BE"/>
    <w:rsid w:val="00D943AD"/>
    <w:rsid w:val="00D94687"/>
    <w:rsid w:val="00D9690A"/>
    <w:rsid w:val="00DA2C91"/>
    <w:rsid w:val="00DA5316"/>
    <w:rsid w:val="00DA7B87"/>
    <w:rsid w:val="00DB0343"/>
    <w:rsid w:val="00DB342A"/>
    <w:rsid w:val="00DB3E19"/>
    <w:rsid w:val="00DB63D9"/>
    <w:rsid w:val="00DB6CA5"/>
    <w:rsid w:val="00DB7121"/>
    <w:rsid w:val="00DB7E77"/>
    <w:rsid w:val="00DC0BD6"/>
    <w:rsid w:val="00DC0F17"/>
    <w:rsid w:val="00DC30D0"/>
    <w:rsid w:val="00DC37CE"/>
    <w:rsid w:val="00DC422E"/>
    <w:rsid w:val="00DC72C4"/>
    <w:rsid w:val="00DD0B4E"/>
    <w:rsid w:val="00DD1F5E"/>
    <w:rsid w:val="00DD2DD1"/>
    <w:rsid w:val="00DD4803"/>
    <w:rsid w:val="00DD639C"/>
    <w:rsid w:val="00DD67DA"/>
    <w:rsid w:val="00DD751E"/>
    <w:rsid w:val="00DD7940"/>
    <w:rsid w:val="00DE1840"/>
    <w:rsid w:val="00DE1B89"/>
    <w:rsid w:val="00DE476A"/>
    <w:rsid w:val="00DE5007"/>
    <w:rsid w:val="00DE59C6"/>
    <w:rsid w:val="00DF26B9"/>
    <w:rsid w:val="00DF2E5A"/>
    <w:rsid w:val="00DF3A69"/>
    <w:rsid w:val="00DF4305"/>
    <w:rsid w:val="00DF4D81"/>
    <w:rsid w:val="00DF658B"/>
    <w:rsid w:val="00E00DC6"/>
    <w:rsid w:val="00E04B02"/>
    <w:rsid w:val="00E058A3"/>
    <w:rsid w:val="00E05E9B"/>
    <w:rsid w:val="00E05F31"/>
    <w:rsid w:val="00E07417"/>
    <w:rsid w:val="00E10ABF"/>
    <w:rsid w:val="00E130CB"/>
    <w:rsid w:val="00E151F3"/>
    <w:rsid w:val="00E1723B"/>
    <w:rsid w:val="00E17539"/>
    <w:rsid w:val="00E23A7D"/>
    <w:rsid w:val="00E244E6"/>
    <w:rsid w:val="00E2695D"/>
    <w:rsid w:val="00E27028"/>
    <w:rsid w:val="00E32995"/>
    <w:rsid w:val="00E32C50"/>
    <w:rsid w:val="00E3404F"/>
    <w:rsid w:val="00E41A6D"/>
    <w:rsid w:val="00E41E9C"/>
    <w:rsid w:val="00E423C3"/>
    <w:rsid w:val="00E4323F"/>
    <w:rsid w:val="00E4469C"/>
    <w:rsid w:val="00E450AB"/>
    <w:rsid w:val="00E47059"/>
    <w:rsid w:val="00E5280E"/>
    <w:rsid w:val="00E52CEE"/>
    <w:rsid w:val="00E53A7F"/>
    <w:rsid w:val="00E54A8E"/>
    <w:rsid w:val="00E563FC"/>
    <w:rsid w:val="00E569BC"/>
    <w:rsid w:val="00E57F9B"/>
    <w:rsid w:val="00E60634"/>
    <w:rsid w:val="00E607C0"/>
    <w:rsid w:val="00E61348"/>
    <w:rsid w:val="00E6211E"/>
    <w:rsid w:val="00E6319B"/>
    <w:rsid w:val="00E6550B"/>
    <w:rsid w:val="00E65551"/>
    <w:rsid w:val="00E6726D"/>
    <w:rsid w:val="00E70FBC"/>
    <w:rsid w:val="00E74000"/>
    <w:rsid w:val="00E7623C"/>
    <w:rsid w:val="00E773C0"/>
    <w:rsid w:val="00E80764"/>
    <w:rsid w:val="00E80FCB"/>
    <w:rsid w:val="00E81433"/>
    <w:rsid w:val="00E81C95"/>
    <w:rsid w:val="00E845C0"/>
    <w:rsid w:val="00E852A3"/>
    <w:rsid w:val="00E86628"/>
    <w:rsid w:val="00E914B7"/>
    <w:rsid w:val="00E92775"/>
    <w:rsid w:val="00E93103"/>
    <w:rsid w:val="00EA0295"/>
    <w:rsid w:val="00EA0314"/>
    <w:rsid w:val="00EA0C1C"/>
    <w:rsid w:val="00EA477A"/>
    <w:rsid w:val="00EA5CA0"/>
    <w:rsid w:val="00EA5D92"/>
    <w:rsid w:val="00EB083E"/>
    <w:rsid w:val="00EB307B"/>
    <w:rsid w:val="00EB5354"/>
    <w:rsid w:val="00EB7780"/>
    <w:rsid w:val="00EC2DC7"/>
    <w:rsid w:val="00EC3779"/>
    <w:rsid w:val="00EC65E8"/>
    <w:rsid w:val="00EC71DE"/>
    <w:rsid w:val="00EC7F0E"/>
    <w:rsid w:val="00ED2D1F"/>
    <w:rsid w:val="00ED58E9"/>
    <w:rsid w:val="00ED700E"/>
    <w:rsid w:val="00ED79D6"/>
    <w:rsid w:val="00EE1831"/>
    <w:rsid w:val="00EE299D"/>
    <w:rsid w:val="00EE3DAD"/>
    <w:rsid w:val="00EF2177"/>
    <w:rsid w:val="00EF2F7C"/>
    <w:rsid w:val="00EF3FC0"/>
    <w:rsid w:val="00EF42FC"/>
    <w:rsid w:val="00EF61B5"/>
    <w:rsid w:val="00F009B3"/>
    <w:rsid w:val="00F00A40"/>
    <w:rsid w:val="00F00A6E"/>
    <w:rsid w:val="00F048BE"/>
    <w:rsid w:val="00F05773"/>
    <w:rsid w:val="00F0773E"/>
    <w:rsid w:val="00F115D1"/>
    <w:rsid w:val="00F12CED"/>
    <w:rsid w:val="00F12DCE"/>
    <w:rsid w:val="00F13496"/>
    <w:rsid w:val="00F13B2F"/>
    <w:rsid w:val="00F14346"/>
    <w:rsid w:val="00F14982"/>
    <w:rsid w:val="00F163E9"/>
    <w:rsid w:val="00F22A26"/>
    <w:rsid w:val="00F23C0F"/>
    <w:rsid w:val="00F2598D"/>
    <w:rsid w:val="00F26166"/>
    <w:rsid w:val="00F26D3E"/>
    <w:rsid w:val="00F2720A"/>
    <w:rsid w:val="00F32739"/>
    <w:rsid w:val="00F32845"/>
    <w:rsid w:val="00F336A2"/>
    <w:rsid w:val="00F34643"/>
    <w:rsid w:val="00F36BA0"/>
    <w:rsid w:val="00F411C5"/>
    <w:rsid w:val="00F44AEB"/>
    <w:rsid w:val="00F45620"/>
    <w:rsid w:val="00F5304D"/>
    <w:rsid w:val="00F532E2"/>
    <w:rsid w:val="00F5470D"/>
    <w:rsid w:val="00F555FB"/>
    <w:rsid w:val="00F5638B"/>
    <w:rsid w:val="00F56493"/>
    <w:rsid w:val="00F60301"/>
    <w:rsid w:val="00F628BC"/>
    <w:rsid w:val="00F628FC"/>
    <w:rsid w:val="00F7033F"/>
    <w:rsid w:val="00F70DD4"/>
    <w:rsid w:val="00F7277F"/>
    <w:rsid w:val="00F72E32"/>
    <w:rsid w:val="00F73B85"/>
    <w:rsid w:val="00F747EC"/>
    <w:rsid w:val="00F76218"/>
    <w:rsid w:val="00F829B7"/>
    <w:rsid w:val="00F82DF0"/>
    <w:rsid w:val="00F84A4F"/>
    <w:rsid w:val="00F84ACE"/>
    <w:rsid w:val="00F8617B"/>
    <w:rsid w:val="00F863D7"/>
    <w:rsid w:val="00F9173C"/>
    <w:rsid w:val="00F94474"/>
    <w:rsid w:val="00F975AD"/>
    <w:rsid w:val="00FA05C2"/>
    <w:rsid w:val="00FA2D1E"/>
    <w:rsid w:val="00FA35EB"/>
    <w:rsid w:val="00FA6EE9"/>
    <w:rsid w:val="00FB18D0"/>
    <w:rsid w:val="00FB2241"/>
    <w:rsid w:val="00FB2315"/>
    <w:rsid w:val="00FB2ED6"/>
    <w:rsid w:val="00FB3591"/>
    <w:rsid w:val="00FB412B"/>
    <w:rsid w:val="00FB42E5"/>
    <w:rsid w:val="00FB58C3"/>
    <w:rsid w:val="00FB59EE"/>
    <w:rsid w:val="00FB5D32"/>
    <w:rsid w:val="00FB6B8F"/>
    <w:rsid w:val="00FC2522"/>
    <w:rsid w:val="00FC3C77"/>
    <w:rsid w:val="00FC5B56"/>
    <w:rsid w:val="00FD181C"/>
    <w:rsid w:val="00FD4B12"/>
    <w:rsid w:val="00FD5009"/>
    <w:rsid w:val="00FD55C9"/>
    <w:rsid w:val="00FD62DC"/>
    <w:rsid w:val="00FD64DF"/>
    <w:rsid w:val="00FD65D3"/>
    <w:rsid w:val="00FD6A70"/>
    <w:rsid w:val="00FE06B1"/>
    <w:rsid w:val="00FE1D87"/>
    <w:rsid w:val="00FE1EC8"/>
    <w:rsid w:val="00FE3560"/>
    <w:rsid w:val="00FE3E09"/>
    <w:rsid w:val="00FE4FBF"/>
    <w:rsid w:val="00FE6961"/>
    <w:rsid w:val="00FE78CB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3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2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3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84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8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header" Target="header2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footer" Target="footer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footer" Target="footer2.xm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header" Target="header5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hyperlink" Target="http://okpointy.cz" TargetMode="External"/><Relationship Id="rId19" Type="http://schemas.openxmlformats.org/officeDocument/2006/relationships/footer" Target="footer1.xml"/><Relationship Id="rId31" Type="http://schemas.openxmlformats.org/officeDocument/2006/relationships/hyperlink" Target="mailto:lenka.kuzelova@bcas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30" Type="http://schemas.openxmlformats.org/officeDocument/2006/relationships/hyperlink" Target="https://www.bcas.cz/o-nas/broker-consulting-index-hypotecnich-uveru/" TargetMode="Externa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7CAC9-5CCE-40C2-95D1-B153E2EC5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4127</TotalTime>
  <Pages>3</Pages>
  <Words>1039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Lenka Kuželová</cp:lastModifiedBy>
  <cp:revision>12</cp:revision>
  <cp:lastPrinted>2023-03-06T11:31:00Z</cp:lastPrinted>
  <dcterms:created xsi:type="dcterms:W3CDTF">2025-04-25T11:45:00Z</dcterms:created>
  <dcterms:modified xsi:type="dcterms:W3CDTF">2025-05-01T05:32:00Z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