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hAnsiTheme="minorHAnsi" w:cstheme="minorHAnsi"/>
          <w:highlight w:val="yellow"/>
        </w:rPr>
        <w:id w:val="120037484"/>
        <w:docPartObj>
          <w:docPartGallery w:val="Cover Pages"/>
          <w:docPartUnique/>
        </w:docPartObj>
      </w:sdtPr>
      <w:sdtEndPr>
        <w:rPr>
          <w:b/>
          <w:sz w:val="20"/>
          <w:szCs w:val="20"/>
        </w:rPr>
      </w:sdtEndPr>
      <w:sdtContent>
        <w:p w14:paraId="718E6546" w14:textId="3DEA865B" w:rsidR="00D80B6D" w:rsidRPr="002C00F6" w:rsidRDefault="00D80B6D">
          <w:pPr>
            <w:rPr>
              <w:rFonts w:asciiTheme="minorHAnsi" w:hAnsiTheme="minorHAnsi" w:cstheme="minorHAnsi"/>
              <w:highlight w:val="yellow"/>
            </w:rPr>
          </w:pPr>
        </w:p>
        <w:p w14:paraId="7ED014A1" w14:textId="77777777" w:rsidR="00D80B6D" w:rsidRPr="002C00F6" w:rsidRDefault="00D80B6D" w:rsidP="00D80B6D">
          <w:pPr>
            <w:pStyle w:val="Nadpis3"/>
            <w:spacing w:before="10"/>
            <w:rPr>
              <w:rFonts w:asciiTheme="minorHAnsi" w:hAnsiTheme="minorHAnsi" w:cstheme="minorHAnsi"/>
              <w:color w:val="1D1D1B"/>
              <w:highlight w:val="yellow"/>
            </w:rPr>
          </w:pPr>
        </w:p>
        <w:p w14:paraId="0FB45B67" w14:textId="77777777" w:rsidR="00D80B6D" w:rsidRPr="002C00F6" w:rsidRDefault="00D80B6D" w:rsidP="00D80B6D">
          <w:pPr>
            <w:spacing w:before="230"/>
            <w:ind w:left="165"/>
            <w:jc w:val="center"/>
            <w:rPr>
              <w:rFonts w:asciiTheme="minorHAnsi" w:hAnsiTheme="minorHAnsi" w:cstheme="minorHAnsi"/>
              <w:color w:val="CD1719"/>
              <w:sz w:val="24"/>
            </w:rPr>
          </w:pPr>
          <w:r w:rsidRPr="002C00F6">
            <w:rPr>
              <w:rFonts w:asciiTheme="minorHAnsi" w:hAnsiTheme="minorHAnsi" w:cstheme="minorHAnsi"/>
              <w:color w:val="1D1D1B"/>
              <w:sz w:val="24"/>
            </w:rPr>
            <w:t xml:space="preserve">INDEX HYPOTEČNÍCH ÚVĚRŮ </w:t>
          </w:r>
          <w:r w:rsidRPr="002C00F6">
            <w:rPr>
              <w:rFonts w:asciiTheme="minorHAnsi" w:hAnsiTheme="minorHAnsi" w:cstheme="minorHAnsi"/>
              <w:color w:val="CD1719"/>
              <w:sz w:val="24"/>
            </w:rPr>
            <w:t xml:space="preserve">| </w:t>
          </w:r>
          <w:r w:rsidRPr="002C00F6">
            <w:rPr>
              <w:rFonts w:asciiTheme="minorHAnsi" w:hAnsiTheme="minorHAnsi" w:cstheme="minorHAnsi"/>
              <w:color w:val="1D1D1B"/>
              <w:sz w:val="24"/>
            </w:rPr>
            <w:t xml:space="preserve">FIXINDEX </w:t>
          </w:r>
        </w:p>
        <w:p w14:paraId="6D3B5ACD" w14:textId="14F47C98" w:rsidR="00BC331D" w:rsidRPr="002C00F6" w:rsidRDefault="00BC331D" w:rsidP="00D80B6D">
          <w:pPr>
            <w:spacing w:before="230"/>
            <w:ind w:left="165"/>
            <w:jc w:val="center"/>
            <w:rPr>
              <w:rFonts w:asciiTheme="minorHAnsi" w:hAnsiTheme="minorHAnsi" w:cstheme="minorHAnsi"/>
              <w:color w:val="1D1D1B"/>
              <w:sz w:val="24"/>
            </w:rPr>
          </w:pPr>
          <w:r w:rsidRPr="002C00F6">
            <w:rPr>
              <w:rFonts w:asciiTheme="minorHAnsi" w:hAnsiTheme="minorHAnsi" w:cstheme="minorHAnsi"/>
              <w:color w:val="1D1D1B"/>
              <w:sz w:val="24"/>
            </w:rPr>
            <w:t>REALINDEX</w:t>
          </w:r>
        </w:p>
        <w:p w14:paraId="32900BCE" w14:textId="16FEEC9E" w:rsidR="00D80B6D" w:rsidRPr="002C00F6" w:rsidRDefault="00A252BA" w:rsidP="00D80B6D">
          <w:pPr>
            <w:spacing w:before="230"/>
            <w:ind w:left="165"/>
            <w:jc w:val="center"/>
            <w:rPr>
              <w:rFonts w:asciiTheme="minorHAnsi" w:hAnsiTheme="minorHAnsi" w:cstheme="minorHAnsi"/>
              <w:color w:val="1D1D1B"/>
              <w:sz w:val="24"/>
            </w:rPr>
          </w:pPr>
          <w:r w:rsidRPr="002C00F6">
            <w:rPr>
              <w:rFonts w:asciiTheme="minorHAnsi" w:hAnsiTheme="minorHAnsi" w:cstheme="minorHAnsi"/>
              <w:color w:val="1D1D1B"/>
              <w:sz w:val="24"/>
            </w:rPr>
            <w:t>POV</w:t>
          </w:r>
          <w:r w:rsidR="00D80B6D" w:rsidRPr="002C00F6">
            <w:rPr>
              <w:rFonts w:asciiTheme="minorHAnsi" w:hAnsiTheme="minorHAnsi" w:cstheme="minorHAnsi"/>
              <w:color w:val="1D1D1B"/>
              <w:sz w:val="24"/>
            </w:rPr>
            <w:t xml:space="preserve">INDEX </w:t>
          </w:r>
        </w:p>
        <w:p w14:paraId="35B1FBE8" w14:textId="77777777" w:rsidR="00BC331D" w:rsidRPr="002C00F6" w:rsidRDefault="00BC331D" w:rsidP="00BC331D">
          <w:pPr>
            <w:spacing w:before="240" w:line="288" w:lineRule="exact"/>
            <w:ind w:left="162"/>
            <w:jc w:val="center"/>
            <w:rPr>
              <w:rFonts w:asciiTheme="minorHAnsi" w:hAnsiTheme="minorHAnsi" w:cstheme="minorHAnsi"/>
              <w:color w:val="1D1D1B"/>
              <w:sz w:val="24"/>
            </w:rPr>
          </w:pPr>
          <w:r w:rsidRPr="002C00F6">
            <w:rPr>
              <w:rFonts w:asciiTheme="minorHAnsi" w:hAnsiTheme="minorHAnsi" w:cstheme="minorHAnsi"/>
              <w:color w:val="1D1D1B"/>
              <w:sz w:val="24"/>
            </w:rPr>
            <w:t>INDEX PODÍLOVÝCH FONDŮ</w:t>
          </w:r>
        </w:p>
        <w:p w14:paraId="5B21B8A6" w14:textId="616329FC" w:rsidR="00D80B6D" w:rsidRPr="002C00F6" w:rsidRDefault="00D80B6D" w:rsidP="00BC331D">
          <w:pPr>
            <w:spacing w:before="230"/>
            <w:jc w:val="center"/>
            <w:rPr>
              <w:rFonts w:asciiTheme="minorHAnsi" w:hAnsiTheme="minorHAnsi" w:cstheme="minorHAnsi"/>
              <w:b/>
              <w:color w:val="CD1719"/>
              <w:sz w:val="24"/>
            </w:rPr>
          </w:pPr>
          <w:r w:rsidRPr="002C00F6">
            <w:rPr>
              <w:rFonts w:asciiTheme="minorHAnsi" w:hAnsiTheme="minorHAnsi" w:cstheme="minorHAnsi"/>
              <w:b/>
              <w:color w:val="1D1D1B"/>
              <w:sz w:val="24"/>
            </w:rPr>
            <w:t>INDEX SPOTŘEBITELSKÝCH ÚVĚRŮ</w:t>
          </w:r>
        </w:p>
        <w:p w14:paraId="1FCC0C9E" w14:textId="77777777" w:rsidR="00D80B6D" w:rsidRPr="002C00F6" w:rsidRDefault="00D80B6D" w:rsidP="00D80B6D">
          <w:pPr>
            <w:pStyle w:val="Zkladntext"/>
            <w:spacing w:before="240"/>
            <w:rPr>
              <w:rFonts w:asciiTheme="minorHAnsi" w:hAnsiTheme="minorHAnsi" w:cstheme="minorHAnsi"/>
              <w:sz w:val="20"/>
              <w:highlight w:val="yellow"/>
            </w:rPr>
          </w:pPr>
        </w:p>
        <w:p w14:paraId="720CCDBB" w14:textId="77777777" w:rsidR="00D80B6D" w:rsidRPr="002C00F6" w:rsidRDefault="00D80B6D" w:rsidP="00D80B6D">
          <w:pPr>
            <w:pStyle w:val="Zkladntext"/>
            <w:spacing w:before="240"/>
            <w:rPr>
              <w:rFonts w:asciiTheme="minorHAnsi" w:hAnsiTheme="minorHAnsi" w:cstheme="minorHAnsi"/>
              <w:sz w:val="20"/>
              <w:highlight w:val="yellow"/>
            </w:rPr>
          </w:pPr>
        </w:p>
        <w:p w14:paraId="703D71F2" w14:textId="77777777" w:rsidR="00D80B6D" w:rsidRPr="002C00F6" w:rsidRDefault="00D80B6D" w:rsidP="00D80B6D">
          <w:pPr>
            <w:pStyle w:val="Zkladntext"/>
            <w:rPr>
              <w:rFonts w:asciiTheme="minorHAnsi" w:hAnsiTheme="minorHAnsi" w:cstheme="minorHAnsi"/>
              <w:sz w:val="20"/>
              <w:highlight w:val="yellow"/>
            </w:rPr>
          </w:pPr>
        </w:p>
        <w:p w14:paraId="00494A3A" w14:textId="77777777" w:rsidR="00D80B6D" w:rsidRPr="002C00F6" w:rsidRDefault="00D80B6D" w:rsidP="00D80B6D">
          <w:pPr>
            <w:pStyle w:val="Zkladntext"/>
            <w:rPr>
              <w:rFonts w:asciiTheme="minorHAnsi" w:hAnsiTheme="minorHAnsi" w:cstheme="minorHAnsi"/>
              <w:sz w:val="20"/>
              <w:highlight w:val="yellow"/>
            </w:rPr>
          </w:pPr>
          <w:r w:rsidRPr="002C00F6">
            <w:rPr>
              <w:rFonts w:asciiTheme="minorHAnsi" w:hAnsiTheme="minorHAnsi" w:cstheme="minorHAnsi"/>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2C00F6" w:rsidRDefault="00D80B6D" w:rsidP="00D80B6D">
          <w:pPr>
            <w:pStyle w:val="Zkladntext"/>
            <w:rPr>
              <w:rFonts w:asciiTheme="minorHAnsi" w:hAnsiTheme="minorHAnsi" w:cstheme="minorHAnsi"/>
              <w:sz w:val="20"/>
              <w:highlight w:val="yellow"/>
            </w:rPr>
          </w:pPr>
        </w:p>
        <w:p w14:paraId="2A5F355C" w14:textId="77777777" w:rsidR="00D80B6D" w:rsidRPr="002C00F6" w:rsidRDefault="00D80B6D" w:rsidP="00D80B6D">
          <w:pPr>
            <w:pStyle w:val="Zkladntext"/>
            <w:rPr>
              <w:rFonts w:asciiTheme="minorHAnsi" w:hAnsiTheme="minorHAnsi" w:cstheme="minorHAnsi"/>
              <w:sz w:val="20"/>
              <w:highlight w:val="yellow"/>
            </w:rPr>
          </w:pPr>
        </w:p>
        <w:p w14:paraId="218EE6CB" w14:textId="77777777" w:rsidR="00D80B6D" w:rsidRPr="002C00F6" w:rsidRDefault="00D80B6D" w:rsidP="00D80B6D">
          <w:pPr>
            <w:pStyle w:val="Zkladntext"/>
            <w:rPr>
              <w:rFonts w:asciiTheme="minorHAnsi" w:hAnsiTheme="minorHAnsi" w:cstheme="minorHAnsi"/>
              <w:sz w:val="20"/>
              <w:highlight w:val="yellow"/>
            </w:rPr>
          </w:pPr>
        </w:p>
        <w:p w14:paraId="0238B3AB" w14:textId="77777777" w:rsidR="00D80B6D" w:rsidRPr="002C00F6" w:rsidRDefault="00D80B6D" w:rsidP="00D80B6D">
          <w:pPr>
            <w:pStyle w:val="Zkladntext"/>
            <w:rPr>
              <w:rFonts w:asciiTheme="minorHAnsi" w:hAnsiTheme="minorHAnsi" w:cstheme="minorHAnsi"/>
              <w:sz w:val="20"/>
              <w:highlight w:val="yellow"/>
            </w:rPr>
          </w:pPr>
        </w:p>
        <w:p w14:paraId="54516A42" w14:textId="77777777" w:rsidR="00D80B6D" w:rsidRPr="002C00F6" w:rsidRDefault="00D80B6D" w:rsidP="00D80B6D">
          <w:pPr>
            <w:pStyle w:val="Zkladntext"/>
            <w:rPr>
              <w:rFonts w:asciiTheme="minorHAnsi" w:hAnsiTheme="minorHAnsi" w:cstheme="minorHAnsi"/>
              <w:sz w:val="20"/>
              <w:highlight w:val="yellow"/>
            </w:rPr>
          </w:pPr>
        </w:p>
        <w:p w14:paraId="5266363A" w14:textId="77777777" w:rsidR="00D80B6D" w:rsidRPr="002C00F6" w:rsidRDefault="00D80B6D" w:rsidP="00D80B6D">
          <w:pPr>
            <w:pStyle w:val="Zkladntext"/>
            <w:rPr>
              <w:rFonts w:asciiTheme="minorHAnsi" w:hAnsiTheme="minorHAnsi" w:cstheme="minorHAnsi"/>
              <w:sz w:val="20"/>
              <w:highlight w:val="yellow"/>
            </w:rPr>
          </w:pPr>
        </w:p>
        <w:p w14:paraId="363B2E28" w14:textId="77777777" w:rsidR="00D80B6D" w:rsidRPr="002C00F6" w:rsidRDefault="00D80B6D" w:rsidP="00D80B6D">
          <w:pPr>
            <w:pStyle w:val="Zkladntext"/>
            <w:rPr>
              <w:rFonts w:asciiTheme="minorHAnsi" w:hAnsiTheme="minorHAnsi" w:cstheme="minorHAnsi"/>
              <w:sz w:val="20"/>
              <w:highlight w:val="yellow"/>
            </w:rPr>
          </w:pPr>
        </w:p>
        <w:p w14:paraId="17667B44" w14:textId="77777777" w:rsidR="00D80B6D" w:rsidRPr="002C00F6" w:rsidRDefault="00D80B6D" w:rsidP="00D80B6D">
          <w:pPr>
            <w:pStyle w:val="Zkladntext"/>
            <w:jc w:val="both"/>
            <w:rPr>
              <w:rFonts w:asciiTheme="minorHAnsi" w:hAnsiTheme="minorHAnsi" w:cstheme="minorHAnsi"/>
              <w:color w:val="FFFFFF" w:themeColor="background1"/>
              <w:sz w:val="20"/>
              <w:highlight w:val="yellow"/>
            </w:rPr>
          </w:pPr>
        </w:p>
        <w:p w14:paraId="5193A529" w14:textId="77777777" w:rsidR="00D80B6D" w:rsidRPr="002C00F6" w:rsidRDefault="00D80B6D" w:rsidP="00D80B6D">
          <w:pPr>
            <w:pStyle w:val="Zkladntext"/>
            <w:jc w:val="both"/>
            <w:rPr>
              <w:rFonts w:asciiTheme="minorHAnsi" w:hAnsiTheme="minorHAnsi" w:cstheme="minorHAnsi"/>
              <w:b/>
              <w:sz w:val="20"/>
              <w:highlight w:val="yellow"/>
            </w:rPr>
          </w:pPr>
        </w:p>
        <w:p w14:paraId="2833FE59" w14:textId="77777777" w:rsidR="00D80B6D" w:rsidRPr="002C00F6" w:rsidRDefault="00D80B6D" w:rsidP="00D80B6D">
          <w:pPr>
            <w:pStyle w:val="Zkladntext"/>
            <w:jc w:val="both"/>
            <w:rPr>
              <w:rFonts w:asciiTheme="minorHAnsi" w:hAnsiTheme="minorHAnsi" w:cstheme="minorHAnsi"/>
              <w:b/>
              <w:sz w:val="20"/>
              <w:highlight w:val="yellow"/>
            </w:rPr>
          </w:pPr>
        </w:p>
        <w:p w14:paraId="6DB157BF" w14:textId="77777777" w:rsidR="00D80B6D" w:rsidRPr="002C00F6" w:rsidRDefault="00D80B6D" w:rsidP="00D80B6D">
          <w:pPr>
            <w:pStyle w:val="Zkladntext"/>
            <w:jc w:val="both"/>
            <w:rPr>
              <w:rFonts w:asciiTheme="minorHAnsi" w:hAnsiTheme="minorHAnsi" w:cstheme="minorHAnsi"/>
              <w:b/>
              <w:sz w:val="20"/>
              <w:highlight w:val="yellow"/>
            </w:rPr>
          </w:pPr>
        </w:p>
        <w:p w14:paraId="47803C2A" w14:textId="77777777" w:rsidR="00D80B6D" w:rsidRPr="002C00F6" w:rsidRDefault="00D80B6D" w:rsidP="00D80B6D">
          <w:pPr>
            <w:pStyle w:val="Zkladntext"/>
            <w:jc w:val="both"/>
            <w:rPr>
              <w:rFonts w:asciiTheme="minorHAnsi" w:hAnsiTheme="minorHAnsi" w:cstheme="minorHAnsi"/>
              <w:b/>
              <w:sz w:val="20"/>
              <w:highlight w:val="yellow"/>
            </w:rPr>
          </w:pPr>
        </w:p>
        <w:p w14:paraId="1D90E1D0" w14:textId="77777777" w:rsidR="00D80B6D" w:rsidRPr="002C00F6" w:rsidRDefault="00D80B6D" w:rsidP="00D80B6D">
          <w:pPr>
            <w:pStyle w:val="Zkladntext"/>
            <w:jc w:val="both"/>
            <w:rPr>
              <w:rFonts w:asciiTheme="minorHAnsi" w:hAnsiTheme="minorHAnsi" w:cstheme="minorHAnsi"/>
              <w:b/>
              <w:sz w:val="20"/>
              <w:highlight w:val="yellow"/>
            </w:rPr>
          </w:pPr>
        </w:p>
        <w:p w14:paraId="5A33B823" w14:textId="77777777" w:rsidR="00D80B6D" w:rsidRPr="002C00F6" w:rsidRDefault="00D80B6D" w:rsidP="00D80B6D">
          <w:pPr>
            <w:pStyle w:val="Zkladntext"/>
            <w:jc w:val="both"/>
            <w:rPr>
              <w:rFonts w:asciiTheme="minorHAnsi" w:hAnsiTheme="minorHAnsi" w:cstheme="minorHAnsi"/>
              <w:b/>
              <w:sz w:val="20"/>
              <w:highlight w:val="yellow"/>
            </w:rPr>
          </w:pPr>
        </w:p>
        <w:p w14:paraId="0D2BECD0" w14:textId="77777777" w:rsidR="00D80B6D" w:rsidRPr="002C00F6" w:rsidRDefault="00D80B6D" w:rsidP="00D80B6D">
          <w:pPr>
            <w:pStyle w:val="Zkladntext"/>
            <w:jc w:val="both"/>
            <w:rPr>
              <w:rFonts w:asciiTheme="minorHAnsi" w:hAnsiTheme="minorHAnsi" w:cstheme="minorHAnsi"/>
              <w:b/>
              <w:sz w:val="20"/>
              <w:highlight w:val="yellow"/>
            </w:rPr>
          </w:pPr>
        </w:p>
        <w:p w14:paraId="69288FB9" w14:textId="77777777" w:rsidR="00D80B6D" w:rsidRPr="002C00F6" w:rsidRDefault="00D80B6D" w:rsidP="00D80B6D">
          <w:pPr>
            <w:pStyle w:val="Zkladntext"/>
            <w:jc w:val="both"/>
            <w:rPr>
              <w:rFonts w:asciiTheme="minorHAnsi" w:hAnsiTheme="minorHAnsi" w:cstheme="minorHAnsi"/>
              <w:b/>
              <w:sz w:val="20"/>
              <w:highlight w:val="yellow"/>
            </w:rPr>
          </w:pPr>
        </w:p>
        <w:p w14:paraId="541E93D5" w14:textId="77777777" w:rsidR="00D80B6D" w:rsidRPr="002C00F6" w:rsidRDefault="00D80B6D" w:rsidP="00D80B6D">
          <w:pPr>
            <w:pStyle w:val="Zkladntext"/>
            <w:jc w:val="both"/>
            <w:rPr>
              <w:rFonts w:asciiTheme="minorHAnsi" w:hAnsiTheme="minorHAnsi" w:cstheme="minorHAnsi"/>
              <w:b/>
              <w:sz w:val="20"/>
              <w:highlight w:val="yellow"/>
            </w:rPr>
          </w:pPr>
        </w:p>
        <w:p w14:paraId="341A343C" w14:textId="77777777" w:rsidR="00D80B6D" w:rsidRPr="002C00F6" w:rsidRDefault="00D80B6D" w:rsidP="00D80B6D">
          <w:pPr>
            <w:pStyle w:val="Zkladntext"/>
            <w:jc w:val="both"/>
            <w:rPr>
              <w:rFonts w:asciiTheme="minorHAnsi" w:hAnsiTheme="minorHAnsi" w:cstheme="minorHAnsi"/>
              <w:b/>
              <w:sz w:val="20"/>
              <w:highlight w:val="yellow"/>
            </w:rPr>
          </w:pPr>
        </w:p>
        <w:p w14:paraId="6C52C42D" w14:textId="77777777" w:rsidR="00D80B6D" w:rsidRPr="002C00F6" w:rsidRDefault="00D80B6D" w:rsidP="00D80B6D">
          <w:pPr>
            <w:pStyle w:val="Zkladntext"/>
            <w:jc w:val="both"/>
            <w:rPr>
              <w:rFonts w:asciiTheme="minorHAnsi" w:hAnsiTheme="minorHAnsi" w:cstheme="minorHAnsi"/>
              <w:b/>
              <w:sz w:val="20"/>
              <w:highlight w:val="yellow"/>
            </w:rPr>
          </w:pPr>
        </w:p>
        <w:p w14:paraId="3E3CDF25" w14:textId="77777777" w:rsidR="00D80B6D" w:rsidRPr="002C00F6" w:rsidRDefault="00D80B6D" w:rsidP="00D80B6D">
          <w:pPr>
            <w:pStyle w:val="Zkladntext"/>
            <w:jc w:val="both"/>
            <w:rPr>
              <w:rFonts w:asciiTheme="minorHAnsi" w:hAnsiTheme="minorHAnsi" w:cstheme="minorHAnsi"/>
              <w:b/>
              <w:sz w:val="20"/>
              <w:highlight w:val="yellow"/>
            </w:rPr>
          </w:pPr>
        </w:p>
        <w:p w14:paraId="40495E64" w14:textId="77777777" w:rsidR="00D80B6D" w:rsidRPr="002C00F6" w:rsidRDefault="00D80B6D" w:rsidP="00D80B6D">
          <w:pPr>
            <w:pStyle w:val="Zkladntext"/>
            <w:jc w:val="both"/>
            <w:rPr>
              <w:rFonts w:asciiTheme="minorHAnsi" w:hAnsiTheme="minorHAnsi" w:cstheme="minorHAnsi"/>
              <w:b/>
              <w:sz w:val="20"/>
              <w:highlight w:val="yellow"/>
            </w:rPr>
          </w:pPr>
        </w:p>
        <w:p w14:paraId="59B6F4E6" w14:textId="77777777" w:rsidR="00D80B6D" w:rsidRPr="002C00F6" w:rsidRDefault="00D80B6D" w:rsidP="00D80B6D">
          <w:pPr>
            <w:pStyle w:val="Zkladntext"/>
            <w:jc w:val="both"/>
            <w:rPr>
              <w:rFonts w:asciiTheme="minorHAnsi" w:hAnsiTheme="minorHAnsi" w:cstheme="minorHAnsi"/>
              <w:b/>
              <w:sz w:val="20"/>
              <w:highlight w:val="yellow"/>
            </w:rPr>
          </w:pPr>
        </w:p>
        <w:p w14:paraId="5ADDFBD6" w14:textId="77777777" w:rsidR="00D80B6D" w:rsidRPr="002C00F6" w:rsidRDefault="00D80B6D" w:rsidP="00D80B6D">
          <w:pPr>
            <w:pStyle w:val="Zkladntext"/>
            <w:jc w:val="both"/>
            <w:rPr>
              <w:rFonts w:asciiTheme="minorHAnsi" w:hAnsiTheme="minorHAnsi" w:cstheme="minorHAnsi"/>
              <w:b/>
              <w:sz w:val="20"/>
              <w:highlight w:val="yellow"/>
            </w:rPr>
          </w:pPr>
        </w:p>
        <w:p w14:paraId="1CB27DF8" w14:textId="77777777" w:rsidR="007B358E" w:rsidRPr="002C00F6" w:rsidRDefault="007B358E" w:rsidP="00D80B6D">
          <w:pPr>
            <w:pStyle w:val="Zkladntext"/>
            <w:jc w:val="both"/>
            <w:rPr>
              <w:rFonts w:asciiTheme="minorHAnsi" w:hAnsiTheme="minorHAnsi" w:cstheme="minorHAnsi"/>
              <w:b/>
              <w:sz w:val="20"/>
              <w:highlight w:val="yellow"/>
            </w:rPr>
          </w:pPr>
        </w:p>
        <w:p w14:paraId="3A61C564" w14:textId="77777777" w:rsidR="0068617E" w:rsidRPr="002C00F6" w:rsidRDefault="0068617E" w:rsidP="00D80B6D">
          <w:pPr>
            <w:pStyle w:val="Zkladntext"/>
            <w:jc w:val="both"/>
            <w:rPr>
              <w:rFonts w:asciiTheme="minorHAnsi" w:hAnsiTheme="minorHAnsi" w:cstheme="minorHAnsi"/>
              <w:b/>
              <w:sz w:val="20"/>
              <w:highlight w:val="yellow"/>
            </w:rPr>
          </w:pPr>
        </w:p>
        <w:p w14:paraId="1414E639" w14:textId="77777777" w:rsidR="0068617E" w:rsidRPr="002C00F6" w:rsidRDefault="0068617E" w:rsidP="00D80B6D">
          <w:pPr>
            <w:pStyle w:val="Zkladntext"/>
            <w:jc w:val="both"/>
            <w:rPr>
              <w:rFonts w:asciiTheme="minorHAnsi" w:hAnsiTheme="minorHAnsi" w:cstheme="minorHAnsi"/>
              <w:b/>
              <w:sz w:val="20"/>
              <w:highlight w:val="yellow"/>
            </w:rPr>
          </w:pPr>
        </w:p>
        <w:p w14:paraId="11132A3F" w14:textId="53DE594E" w:rsidR="00D80B6D" w:rsidRPr="002C00F6" w:rsidRDefault="00D80B6D" w:rsidP="00D80B6D">
          <w:pPr>
            <w:pStyle w:val="Zkladntext"/>
            <w:jc w:val="both"/>
            <w:rPr>
              <w:rFonts w:asciiTheme="minorHAnsi" w:hAnsiTheme="minorHAnsi" w:cstheme="minorHAnsi"/>
              <w:b/>
              <w:sz w:val="20"/>
            </w:rPr>
          </w:pPr>
          <w:r w:rsidRPr="002C00F6">
            <w:rPr>
              <w:rFonts w:asciiTheme="minorHAnsi" w:hAnsiTheme="minorHAnsi" w:cstheme="minorHAnsi"/>
              <w:b/>
              <w:sz w:val="20"/>
            </w:rPr>
            <w:t>O společnosti Broker Consulting</w:t>
          </w:r>
        </w:p>
        <w:p w14:paraId="27485CC6" w14:textId="77777777" w:rsidR="00D80B6D" w:rsidRPr="002C00F6" w:rsidRDefault="00D80B6D" w:rsidP="00D80B6D">
          <w:pPr>
            <w:jc w:val="both"/>
            <w:rPr>
              <w:rFonts w:asciiTheme="minorHAnsi" w:hAnsiTheme="minorHAnsi" w:cstheme="minorHAnsi"/>
              <w:sz w:val="20"/>
            </w:rPr>
          </w:pPr>
        </w:p>
        <w:p w14:paraId="36418F0F" w14:textId="6B62FFBE" w:rsidR="007F5903" w:rsidRPr="002C00F6" w:rsidRDefault="007F5903" w:rsidP="007F5903">
          <w:pPr>
            <w:jc w:val="both"/>
            <w:rPr>
              <w:rStyle w:val="dn"/>
              <w:rFonts w:asciiTheme="minorHAnsi" w:hAnsiTheme="minorHAnsi" w:cstheme="minorHAnsi"/>
              <w:sz w:val="20"/>
              <w:szCs w:val="20"/>
            </w:rPr>
          </w:pPr>
          <w:r w:rsidRPr="002C00F6">
            <w:rPr>
              <w:rFonts w:asciiTheme="minorHAnsi" w:hAnsiTheme="minorHAnsi" w:cstheme="minorHAnsi"/>
              <w:sz w:val="20"/>
              <w:szCs w:val="20"/>
            </w:rPr>
            <w:t>Broker Consulting je jednou z největších společností na českém a slovenském trhu, která poskytuje služby v oblasti financí a realit. Od rok</w:t>
          </w:r>
          <w:r w:rsidR="003B4BD8" w:rsidRPr="002C00F6">
            <w:rPr>
              <w:rFonts w:asciiTheme="minorHAnsi" w:hAnsiTheme="minorHAnsi" w:cstheme="minorHAnsi"/>
              <w:sz w:val="20"/>
              <w:szCs w:val="20"/>
            </w:rPr>
            <w:t>u 1998 získala důvěru více než 7</w:t>
          </w:r>
          <w:r w:rsidRPr="002C00F6">
            <w:rPr>
              <w:rFonts w:asciiTheme="minorHAnsi" w:hAnsiTheme="minorHAnsi" w:cstheme="minorHAnsi"/>
              <w:sz w:val="20"/>
              <w:szCs w:val="20"/>
            </w:rPr>
            <w:t xml:space="preserve">00 000 klientů. Poskytuje také služby přes 4 000 firmám. Distribuci služeb zajišťuje přibližně 2 000 konzultantů (profesionální konzultanti, zaměstnanci, konzultanti v zapracování v ČR i SR) ve více než 150 kancelářích a na několika desítkách poboček Broker Point Premium.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Broker Point Premium, jehož přináší společnost Broker Consulting, která za vedení franšízy a její podporu získala ocenění </w:t>
          </w:r>
          <w:r w:rsidRPr="002C00F6">
            <w:rPr>
              <w:rFonts w:asciiTheme="minorHAnsi" w:hAnsiTheme="minorHAnsi" w:cstheme="minorHAnsi"/>
              <w:b/>
              <w:color w:val="FF0000"/>
              <w:sz w:val="20"/>
              <w:szCs w:val="20"/>
            </w:rPr>
            <w:t>Franchisor roku 2022</w:t>
          </w:r>
          <w:r w:rsidRPr="002C00F6">
            <w:rPr>
              <w:rFonts w:asciiTheme="minorHAnsi" w:hAnsiTheme="minorHAnsi" w:cstheme="minorHAnsi"/>
              <w:color w:val="FF0000"/>
              <w:sz w:val="20"/>
              <w:szCs w:val="20"/>
            </w:rPr>
            <w:t xml:space="preserve"> </w:t>
          </w:r>
          <w:r w:rsidRPr="002C00F6">
            <w:rPr>
              <w:rFonts w:asciiTheme="minorHAnsi" w:hAnsiTheme="minorHAnsi" w:cstheme="minorHAnsi"/>
              <w:sz w:val="20"/>
              <w:szCs w:val="20"/>
            </w:rPr>
            <w:t xml:space="preserve">od České asociace franchisingu. </w:t>
          </w:r>
          <w:r w:rsidRPr="002C00F6">
            <w:rPr>
              <w:rStyle w:val="dn"/>
              <w:rFonts w:asciiTheme="minorHAnsi" w:hAnsiTheme="minorHAnsi" w:cstheme="minorHAnsi"/>
              <w:sz w:val="20"/>
              <w:szCs w:val="20"/>
            </w:rPr>
            <w:t xml:space="preserve">Více na </w:t>
          </w:r>
          <w:hyperlink r:id="rId9" w:history="1">
            <w:r w:rsidRPr="002C00F6">
              <w:rPr>
                <w:rStyle w:val="Hypertextovodkaz"/>
                <w:rFonts w:asciiTheme="minorHAnsi" w:hAnsiTheme="minorHAnsi" w:cstheme="minorHAnsi"/>
                <w:sz w:val="20"/>
                <w:szCs w:val="20"/>
              </w:rPr>
              <w:t>bcas.cz</w:t>
            </w:r>
          </w:hyperlink>
          <w:r w:rsidRPr="002C00F6">
            <w:rPr>
              <w:rStyle w:val="Hypertextovodkaz"/>
              <w:rFonts w:asciiTheme="minorHAnsi" w:hAnsiTheme="minorHAnsi" w:cstheme="minorHAnsi"/>
              <w:sz w:val="20"/>
              <w:szCs w:val="20"/>
            </w:rPr>
            <w:t xml:space="preserve">, </w:t>
          </w:r>
          <w:hyperlink r:id="rId10" w:history="1">
            <w:r w:rsidRPr="002C00F6">
              <w:rPr>
                <w:rStyle w:val="Hypertextovodkaz"/>
                <w:rFonts w:asciiTheme="minorHAnsi" w:hAnsiTheme="minorHAnsi" w:cstheme="minorHAnsi"/>
                <w:sz w:val="20"/>
                <w:szCs w:val="20"/>
              </w:rPr>
              <w:t>brokerpointy.cz</w:t>
            </w:r>
          </w:hyperlink>
          <w:r w:rsidRPr="002C00F6">
            <w:rPr>
              <w:rStyle w:val="Hypertextovodkaz"/>
              <w:rFonts w:asciiTheme="minorHAnsi" w:hAnsiTheme="minorHAnsi" w:cstheme="minorHAnsi"/>
              <w:sz w:val="20"/>
              <w:szCs w:val="20"/>
            </w:rPr>
            <w:t>, brokerpoint</w:t>
          </w:r>
          <w:hyperlink r:id="rId11" w:history="1">
            <w:r w:rsidRPr="002C00F6">
              <w:rPr>
                <w:rStyle w:val="Hypertextovodkaz"/>
                <w:rFonts w:asciiTheme="minorHAnsi" w:hAnsiTheme="minorHAnsi" w:cstheme="minorHAnsi"/>
                <w:sz w:val="20"/>
                <w:szCs w:val="20"/>
              </w:rPr>
              <w:t>.tv</w:t>
            </w:r>
          </w:hyperlink>
          <w:r w:rsidRPr="002C00F6">
            <w:rPr>
              <w:rStyle w:val="dn"/>
              <w:rFonts w:asciiTheme="minorHAnsi" w:hAnsiTheme="minorHAnsi" w:cstheme="minorHAnsi"/>
              <w:sz w:val="20"/>
              <w:szCs w:val="20"/>
            </w:rPr>
            <w:t xml:space="preserve"> a na </w:t>
          </w:r>
          <w:hyperlink r:id="rId12" w:history="1">
            <w:r w:rsidRPr="002C00F6">
              <w:rPr>
                <w:rStyle w:val="Hypertextovodkaz"/>
                <w:rFonts w:asciiTheme="minorHAnsi" w:hAnsiTheme="minorHAnsi" w:cstheme="minorHAnsi"/>
                <w:sz w:val="20"/>
                <w:szCs w:val="20"/>
              </w:rPr>
              <w:t>realityspolu.cz</w:t>
            </w:r>
          </w:hyperlink>
          <w:r w:rsidRPr="002C00F6">
            <w:rPr>
              <w:rStyle w:val="Hypertextovodkaz"/>
              <w:rFonts w:asciiTheme="minorHAnsi" w:hAnsiTheme="minorHAnsi" w:cstheme="minorHAnsi"/>
              <w:sz w:val="20"/>
              <w:szCs w:val="20"/>
            </w:rPr>
            <w:t xml:space="preserve">. </w:t>
          </w:r>
          <w:r w:rsidRPr="002C00F6">
            <w:rPr>
              <w:rStyle w:val="dn"/>
              <w:rFonts w:asciiTheme="minorHAnsi" w:hAnsiTheme="minorHAnsi" w:cstheme="minorHAnsi"/>
              <w:sz w:val="20"/>
              <w:szCs w:val="20"/>
            </w:rPr>
            <w:t xml:space="preserve">Navštivte také náš </w:t>
          </w:r>
          <w:hyperlink r:id="rId13" w:history="1">
            <w:r w:rsidRPr="002C00F6">
              <w:rPr>
                <w:rStyle w:val="Hypertextovodkaz"/>
                <w:rFonts w:asciiTheme="minorHAnsi" w:hAnsiTheme="minorHAnsi" w:cstheme="minorHAnsi"/>
                <w:sz w:val="20"/>
                <w:szCs w:val="20"/>
              </w:rPr>
              <w:t>Facebook</w:t>
            </w:r>
          </w:hyperlink>
          <w:r w:rsidRPr="002C00F6">
            <w:rPr>
              <w:rStyle w:val="dn"/>
              <w:rFonts w:asciiTheme="minorHAnsi" w:hAnsiTheme="minorHAnsi" w:cstheme="minorHAnsi"/>
              <w:sz w:val="20"/>
              <w:szCs w:val="20"/>
            </w:rPr>
            <w:t xml:space="preserve">, </w:t>
          </w:r>
          <w:hyperlink r:id="rId14" w:history="1">
            <w:r w:rsidRPr="002C00F6">
              <w:rPr>
                <w:rStyle w:val="Hypertextovodkaz"/>
                <w:rFonts w:asciiTheme="minorHAnsi" w:hAnsiTheme="minorHAnsi" w:cstheme="minorHAnsi"/>
                <w:sz w:val="20"/>
                <w:szCs w:val="20"/>
              </w:rPr>
              <w:t>LinkedIN</w:t>
            </w:r>
          </w:hyperlink>
          <w:r w:rsidRPr="002C00F6">
            <w:rPr>
              <w:rStyle w:val="dn"/>
              <w:rFonts w:asciiTheme="minorHAnsi" w:hAnsiTheme="minorHAnsi" w:cstheme="minorHAnsi"/>
              <w:sz w:val="20"/>
              <w:szCs w:val="20"/>
            </w:rPr>
            <w:t xml:space="preserve"> Broker Consulting, Twitter </w:t>
          </w:r>
          <w:r w:rsidRPr="002C00F6">
            <w:rPr>
              <w:rFonts w:asciiTheme="minorHAnsi" w:hAnsiTheme="minorHAnsi" w:cstheme="minorHAnsi"/>
              <w:sz w:val="20"/>
              <w:szCs w:val="20"/>
              <w:shd w:val="clear" w:color="auto" w:fill="FFFFFF"/>
            </w:rPr>
            <w:t xml:space="preserve">@BC_oficialni, </w:t>
          </w:r>
          <w:r w:rsidRPr="002C00F6">
            <w:rPr>
              <w:rStyle w:val="dn"/>
              <w:rFonts w:asciiTheme="minorHAnsi" w:hAnsiTheme="minorHAnsi" w:cstheme="minorHAnsi"/>
              <w:sz w:val="20"/>
              <w:szCs w:val="20"/>
            </w:rPr>
            <w:t xml:space="preserve"> </w:t>
          </w:r>
          <w:hyperlink r:id="rId15" w:history="1">
            <w:r w:rsidRPr="002C00F6">
              <w:rPr>
                <w:rStyle w:val="Hypertextovodkaz"/>
                <w:rFonts w:asciiTheme="minorHAnsi" w:hAnsiTheme="minorHAnsi" w:cstheme="minorHAnsi"/>
                <w:sz w:val="20"/>
                <w:szCs w:val="20"/>
              </w:rPr>
              <w:t>Facebook</w:t>
            </w:r>
          </w:hyperlink>
          <w:r w:rsidRPr="002C00F6">
            <w:rPr>
              <w:rStyle w:val="dn"/>
              <w:rFonts w:asciiTheme="minorHAnsi" w:hAnsiTheme="minorHAnsi" w:cstheme="minorHAnsi"/>
              <w:sz w:val="20"/>
              <w:szCs w:val="20"/>
            </w:rPr>
            <w:t xml:space="preserve"> a </w:t>
          </w:r>
          <w:hyperlink r:id="rId16" w:history="1">
            <w:r w:rsidRPr="002C00F6">
              <w:rPr>
                <w:rStyle w:val="Hypertextovodkaz"/>
                <w:rFonts w:asciiTheme="minorHAnsi" w:hAnsiTheme="minorHAnsi" w:cstheme="minorHAnsi"/>
                <w:sz w:val="20"/>
                <w:szCs w:val="20"/>
              </w:rPr>
              <w:t>LinkedI</w:t>
            </w:r>
          </w:hyperlink>
          <w:r w:rsidRPr="002C00F6">
            <w:rPr>
              <w:rStyle w:val="Hypertextovodkaz"/>
              <w:rFonts w:asciiTheme="minorHAnsi" w:hAnsiTheme="minorHAnsi" w:cstheme="minorHAnsi"/>
              <w:sz w:val="20"/>
              <w:szCs w:val="20"/>
            </w:rPr>
            <w:t>N</w:t>
          </w:r>
          <w:r w:rsidRPr="002C00F6">
            <w:rPr>
              <w:rStyle w:val="dn"/>
              <w:rFonts w:asciiTheme="minorHAnsi" w:hAnsiTheme="minorHAnsi" w:cstheme="minorHAnsi"/>
              <w:sz w:val="20"/>
              <w:szCs w:val="20"/>
            </w:rPr>
            <w:t xml:space="preserve"> Broker Point Premium. </w:t>
          </w:r>
        </w:p>
        <w:p w14:paraId="3F0EC976" w14:textId="3496D289" w:rsidR="00D80B6D" w:rsidRPr="002C00F6" w:rsidRDefault="00D80B6D" w:rsidP="0068617E">
          <w:pPr>
            <w:pStyle w:val="Zkladntext"/>
            <w:jc w:val="both"/>
            <w:rPr>
              <w:rFonts w:asciiTheme="minorHAnsi" w:hAnsiTheme="minorHAnsi" w:cstheme="minorHAnsi"/>
              <w:sz w:val="20"/>
              <w:highlight w:val="yellow"/>
            </w:rPr>
            <w:sectPr w:rsidR="00D80B6D" w:rsidRPr="002C00F6" w:rsidSect="00D80B6D">
              <w:headerReference w:type="default" r:id="rId17"/>
              <w:footerReference w:type="default" r:id="rId18"/>
              <w:pgSz w:w="11910" w:h="16840"/>
              <w:pgMar w:top="960" w:right="740" w:bottom="0" w:left="720" w:header="708" w:footer="708" w:gutter="0"/>
              <w:cols w:space="708"/>
            </w:sectPr>
          </w:pPr>
        </w:p>
        <w:p w14:paraId="35539C65" w14:textId="7A3AAC27" w:rsidR="00D31127" w:rsidRPr="002C00F6" w:rsidRDefault="00BA43E2" w:rsidP="0025264B">
          <w:pPr>
            <w:rPr>
              <w:rFonts w:asciiTheme="minorHAnsi" w:hAnsiTheme="minorHAnsi" w:cstheme="minorHAnsi"/>
              <w:b/>
              <w:sz w:val="20"/>
              <w:szCs w:val="20"/>
              <w:highlight w:val="yellow"/>
            </w:rPr>
            <w:sectPr w:rsidR="00D31127" w:rsidRPr="002C00F6" w:rsidSect="00D80B6D">
              <w:headerReference w:type="even" r:id="rId19"/>
              <w:headerReference w:type="default" r:id="rId20"/>
              <w:footerReference w:type="even" r:id="rId21"/>
              <w:footerReference w:type="default" r:id="rId22"/>
              <w:headerReference w:type="first" r:id="rId23"/>
              <w:footerReference w:type="first" r:id="rId24"/>
              <w:pgSz w:w="11910" w:h="16840"/>
              <w:pgMar w:top="1418" w:right="740" w:bottom="420" w:left="720" w:header="340" w:footer="223" w:gutter="0"/>
              <w:pgNumType w:start="0"/>
              <w:cols w:space="708"/>
              <w:titlePg/>
              <w:docGrid w:linePitch="299"/>
            </w:sectPr>
          </w:pPr>
        </w:p>
      </w:sdtContent>
    </w:sdt>
    <w:p w14:paraId="6A10485D" w14:textId="649FD664" w:rsidR="00704D83" w:rsidRPr="005478C7" w:rsidRDefault="00704D83" w:rsidP="005478C7">
      <w:pPr>
        <w:jc w:val="center"/>
        <w:rPr>
          <w:rFonts w:asciiTheme="minorHAnsi" w:hAnsiTheme="minorHAnsi" w:cstheme="minorHAnsi"/>
          <w:b/>
          <w:sz w:val="28"/>
          <w:szCs w:val="28"/>
        </w:rPr>
      </w:pPr>
    </w:p>
    <w:p w14:paraId="11B1AA43" w14:textId="147E1867" w:rsidR="00174009" w:rsidRPr="005478C7" w:rsidRDefault="007F5D6E" w:rsidP="005478C7">
      <w:pPr>
        <w:spacing w:after="120"/>
        <w:jc w:val="center"/>
        <w:rPr>
          <w:rFonts w:asciiTheme="minorHAnsi" w:eastAsia="Times New Roman" w:hAnsiTheme="minorHAnsi" w:cstheme="minorHAnsi"/>
          <w:b/>
          <w:bCs/>
          <w:color w:val="000000"/>
          <w:sz w:val="28"/>
          <w:szCs w:val="28"/>
        </w:rPr>
      </w:pPr>
      <w:r w:rsidRPr="005478C7">
        <w:rPr>
          <w:rFonts w:asciiTheme="minorHAnsi" w:eastAsia="Times New Roman" w:hAnsiTheme="minorHAnsi" w:cstheme="minorHAnsi"/>
          <w:b/>
          <w:bCs/>
          <w:color w:val="000000"/>
          <w:sz w:val="28"/>
          <w:szCs w:val="28"/>
        </w:rPr>
        <w:t>Spotřebitelské úvěry jsou letos výrazně levnější než loni</w:t>
      </w:r>
    </w:p>
    <w:p w14:paraId="747DA131" w14:textId="519EBAF7" w:rsidR="00F350A2" w:rsidRPr="005478C7" w:rsidRDefault="007F5D6E" w:rsidP="005478C7">
      <w:pPr>
        <w:pStyle w:val="Odstavecseseznamem"/>
        <w:widowControl/>
        <w:numPr>
          <w:ilvl w:val="0"/>
          <w:numId w:val="13"/>
        </w:numPr>
        <w:autoSpaceDE/>
        <w:autoSpaceDN/>
        <w:spacing w:after="120"/>
        <w:ind w:right="0"/>
        <w:contextualSpacing/>
        <w:jc w:val="both"/>
        <w:rPr>
          <w:rFonts w:asciiTheme="minorHAnsi" w:eastAsia="Times New Roman" w:hAnsiTheme="minorHAnsi" w:cstheme="minorHAnsi"/>
          <w:b/>
          <w:color w:val="000000"/>
        </w:rPr>
      </w:pPr>
      <w:r w:rsidRPr="005478C7">
        <w:rPr>
          <w:rFonts w:asciiTheme="minorHAnsi" w:hAnsiTheme="minorHAnsi" w:cstheme="minorHAnsi"/>
          <w:b/>
        </w:rPr>
        <w:t>Broker Consulting Index spotřebitelských úvěrů klesl v červnu na 7,27 procenta</w:t>
      </w:r>
      <w:r w:rsidR="00F350A2" w:rsidRPr="005478C7">
        <w:rPr>
          <w:rFonts w:asciiTheme="minorHAnsi" w:hAnsiTheme="minorHAnsi" w:cstheme="minorHAnsi"/>
          <w:b/>
        </w:rPr>
        <w:t>.</w:t>
      </w:r>
    </w:p>
    <w:p w14:paraId="4760F9AF" w14:textId="45F70D39" w:rsidR="00FB65BA" w:rsidRPr="005478C7" w:rsidRDefault="007F5D6E" w:rsidP="005478C7">
      <w:pPr>
        <w:pStyle w:val="Odstavecseseznamem"/>
        <w:widowControl/>
        <w:numPr>
          <w:ilvl w:val="0"/>
          <w:numId w:val="13"/>
        </w:numPr>
        <w:autoSpaceDE/>
        <w:autoSpaceDN/>
        <w:spacing w:after="120"/>
        <w:ind w:right="0"/>
        <w:contextualSpacing/>
        <w:jc w:val="both"/>
        <w:rPr>
          <w:rFonts w:asciiTheme="minorHAnsi" w:eastAsia="Times New Roman" w:hAnsiTheme="minorHAnsi" w:cstheme="minorHAnsi"/>
          <w:b/>
          <w:color w:val="000000"/>
        </w:rPr>
      </w:pPr>
      <w:r w:rsidRPr="005478C7">
        <w:rPr>
          <w:rFonts w:asciiTheme="minorHAnsi" w:hAnsiTheme="minorHAnsi" w:cstheme="minorHAnsi"/>
          <w:b/>
        </w:rPr>
        <w:t>Úvěry jsou dostupnější než ve stejném období loni i předloni</w:t>
      </w:r>
      <w:r w:rsidR="00F350A2" w:rsidRPr="005478C7">
        <w:rPr>
          <w:rFonts w:asciiTheme="minorHAnsi" w:hAnsiTheme="minorHAnsi" w:cstheme="minorHAnsi"/>
          <w:b/>
        </w:rPr>
        <w:t>.</w:t>
      </w:r>
    </w:p>
    <w:p w14:paraId="0CAC1417" w14:textId="6384327F" w:rsidR="00F350A2" w:rsidRPr="005478C7" w:rsidRDefault="007F5D6E" w:rsidP="005478C7">
      <w:pPr>
        <w:pStyle w:val="Odstavecseseznamem"/>
        <w:widowControl/>
        <w:numPr>
          <w:ilvl w:val="0"/>
          <w:numId w:val="13"/>
        </w:numPr>
        <w:autoSpaceDE/>
        <w:autoSpaceDN/>
        <w:spacing w:after="120"/>
        <w:ind w:right="0"/>
        <w:contextualSpacing/>
        <w:jc w:val="both"/>
        <w:rPr>
          <w:rFonts w:asciiTheme="minorHAnsi" w:eastAsia="Times New Roman" w:hAnsiTheme="minorHAnsi" w:cstheme="minorHAnsi"/>
          <w:b/>
          <w:color w:val="000000"/>
        </w:rPr>
      </w:pPr>
      <w:r w:rsidRPr="005478C7">
        <w:rPr>
          <w:rFonts w:asciiTheme="minorHAnsi" w:eastAsia="Times New Roman" w:hAnsiTheme="minorHAnsi" w:cstheme="minorHAnsi"/>
          <w:b/>
          <w:color w:val="000000"/>
        </w:rPr>
        <w:t xml:space="preserve">Letní výdaje na dluh? Odborníci </w:t>
      </w:r>
      <w:r w:rsidR="00507472">
        <w:rPr>
          <w:rFonts w:asciiTheme="minorHAnsi" w:eastAsia="Times New Roman" w:hAnsiTheme="minorHAnsi" w:cstheme="minorHAnsi"/>
          <w:b/>
          <w:color w:val="000000"/>
        </w:rPr>
        <w:t>radí plánovat s předstihem a raději využívat vlastní úspory.</w:t>
      </w:r>
      <w:r w:rsidRPr="005478C7">
        <w:rPr>
          <w:rFonts w:asciiTheme="minorHAnsi" w:eastAsia="Times New Roman" w:hAnsiTheme="minorHAnsi" w:cstheme="minorHAnsi"/>
          <w:b/>
          <w:color w:val="000000"/>
        </w:rPr>
        <w:t xml:space="preserve"> </w:t>
      </w:r>
    </w:p>
    <w:p w14:paraId="4AA9029E" w14:textId="7634DE91" w:rsidR="007F5D6E" w:rsidRPr="005478C7" w:rsidRDefault="003C4A8F" w:rsidP="005478C7">
      <w:pPr>
        <w:widowControl/>
        <w:autoSpaceDE/>
        <w:autoSpaceDN/>
        <w:spacing w:before="100" w:beforeAutospacing="1" w:after="100" w:afterAutospacing="1"/>
        <w:jc w:val="both"/>
        <w:rPr>
          <w:rFonts w:asciiTheme="minorHAnsi" w:eastAsia="Times New Roman" w:hAnsiTheme="minorHAnsi" w:cstheme="minorHAnsi"/>
          <w:i/>
          <w:lang w:bidi="ar-SA"/>
        </w:rPr>
      </w:pPr>
      <w:r>
        <w:rPr>
          <w:rStyle w:val="Siln"/>
          <w:rFonts w:asciiTheme="minorHAnsi" w:hAnsiTheme="minorHAnsi" w:cstheme="minorHAnsi"/>
        </w:rPr>
        <w:t>Praha, 17</w:t>
      </w:r>
      <w:r w:rsidR="007F5D6E" w:rsidRPr="005478C7">
        <w:rPr>
          <w:rStyle w:val="Siln"/>
          <w:rFonts w:asciiTheme="minorHAnsi" w:hAnsiTheme="minorHAnsi" w:cstheme="minorHAnsi"/>
        </w:rPr>
        <w:t>. července 2025</w:t>
      </w:r>
      <w:r w:rsidR="007F5D6E" w:rsidRPr="005478C7">
        <w:rPr>
          <w:rFonts w:asciiTheme="minorHAnsi" w:hAnsiTheme="minorHAnsi" w:cstheme="minorHAnsi"/>
        </w:rPr>
        <w:t xml:space="preserve"> –</w:t>
      </w:r>
      <w:r w:rsidR="00507472">
        <w:rPr>
          <w:rFonts w:asciiTheme="minorHAnsi" w:hAnsiTheme="minorHAnsi" w:cstheme="minorHAnsi"/>
        </w:rPr>
        <w:t xml:space="preserve"> Průměrné sazby bezúčelových úvěrů </w:t>
      </w:r>
      <w:r w:rsidR="007F5D6E" w:rsidRPr="005478C7">
        <w:rPr>
          <w:rFonts w:asciiTheme="minorHAnsi" w:hAnsiTheme="minorHAnsi" w:cstheme="minorHAnsi"/>
        </w:rPr>
        <w:t>zaznamenaly v červnu další mírný pokles. Broker Consulting Index spotřebitelských úvěrů dosáhl hodnoty 7,27 %, což je o 0,18 procentního bodu méně než v květnu. Tento vývoj zapadá do trendu stabilních a pro klienty příznivých sazeb, které letos zůstávají většinu měsíců hluboko pod osmi procenty.</w:t>
      </w:r>
    </w:p>
    <w:p w14:paraId="7092706C" w14:textId="226E1C87" w:rsidR="00F350A2" w:rsidRPr="005478C7" w:rsidRDefault="007F5D6E" w:rsidP="005478C7">
      <w:pPr>
        <w:widowControl/>
        <w:autoSpaceDE/>
        <w:autoSpaceDN/>
        <w:spacing w:before="100" w:beforeAutospacing="1" w:after="100" w:afterAutospacing="1"/>
        <w:jc w:val="both"/>
        <w:rPr>
          <w:rFonts w:asciiTheme="minorHAnsi" w:hAnsiTheme="minorHAnsi" w:cstheme="minorHAnsi"/>
          <w:b/>
        </w:rPr>
      </w:pPr>
      <w:r w:rsidRPr="005478C7">
        <w:rPr>
          <w:rFonts w:asciiTheme="minorHAnsi" w:eastAsia="Times New Roman" w:hAnsiTheme="minorHAnsi" w:cstheme="minorHAnsi"/>
          <w:i/>
          <w:lang w:bidi="ar-SA"/>
        </w:rPr>
        <w:t xml:space="preserve"> </w:t>
      </w:r>
      <w:r w:rsidRPr="005478C7">
        <w:rPr>
          <w:rFonts w:asciiTheme="minorHAnsi" w:hAnsiTheme="minorHAnsi" w:cstheme="minorHAnsi"/>
          <w:i/>
        </w:rPr>
        <w:t>„Pohyb sazeb o několik desetin procentního bodu je u úvěrů na cokoliv běžný. Letos se ale ukazuje, že trh se drží v ustáleném pásmu a žadatelé mají výrazně lepší podmínky než ve stejném období loni,“</w:t>
      </w:r>
      <w:r w:rsidRPr="005478C7">
        <w:rPr>
          <w:rFonts w:asciiTheme="minorHAnsi" w:hAnsiTheme="minorHAnsi" w:cstheme="minorHAnsi"/>
        </w:rPr>
        <w:t xml:space="preserve"> komentuje </w:t>
      </w:r>
      <w:r w:rsidRPr="005478C7">
        <w:rPr>
          <w:rFonts w:asciiTheme="minorHAnsi" w:hAnsiTheme="minorHAnsi" w:cstheme="minorHAnsi"/>
          <w:b/>
        </w:rPr>
        <w:t>Michaela Pudilová, analytička spotřebitelských a hypotečních úvěrů ze společnosti Broker Consulting.</w:t>
      </w:r>
    </w:p>
    <w:p w14:paraId="75492F1F" w14:textId="17232F89" w:rsidR="007F5D6E" w:rsidRPr="005478C7" w:rsidRDefault="007F5D6E" w:rsidP="005478C7">
      <w:pPr>
        <w:widowControl/>
        <w:autoSpaceDE/>
        <w:autoSpaceDN/>
        <w:spacing w:before="100" w:beforeAutospacing="1" w:after="100" w:afterAutospacing="1"/>
        <w:jc w:val="both"/>
        <w:rPr>
          <w:rFonts w:asciiTheme="minorHAnsi" w:hAnsiTheme="minorHAnsi" w:cstheme="minorHAnsi"/>
        </w:rPr>
      </w:pPr>
      <w:r w:rsidRPr="005478C7">
        <w:rPr>
          <w:rFonts w:asciiTheme="minorHAnsi" w:hAnsiTheme="minorHAnsi" w:cstheme="minorHAnsi"/>
        </w:rPr>
        <w:t>Letošní hodnoty naměřené Broker Consulting Indexem spotřebitelských úvěrů ukazují na příznivější sazby, než tomu bylo v loňském ro</w:t>
      </w:r>
      <w:r w:rsidR="005478C7">
        <w:rPr>
          <w:rFonts w:asciiTheme="minorHAnsi" w:hAnsiTheme="minorHAnsi" w:cstheme="minorHAnsi"/>
        </w:rPr>
        <w:t>ce. Zatímco leden přinesl hodnotu</w:t>
      </w:r>
      <w:r w:rsidRPr="005478C7">
        <w:rPr>
          <w:rFonts w:asciiTheme="minorHAnsi" w:hAnsiTheme="minorHAnsi" w:cstheme="minorHAnsi"/>
        </w:rPr>
        <w:t xml:space="preserve"> 7,63 %, v únoru sazby klesly na 6,86 %, v březnu se držely na 6,93 %. Duben zaznamenal nárůst na 7,64 %, který však </w:t>
      </w:r>
      <w:r w:rsidR="005478C7">
        <w:rPr>
          <w:rFonts w:asciiTheme="minorHAnsi" w:hAnsiTheme="minorHAnsi" w:cstheme="minorHAnsi"/>
        </w:rPr>
        <w:t xml:space="preserve">v květnu a červnu opět klesal, </w:t>
      </w:r>
      <w:r w:rsidRPr="005478C7">
        <w:rPr>
          <w:rFonts w:asciiTheme="minorHAnsi" w:hAnsiTheme="minorHAnsi" w:cstheme="minorHAnsi"/>
        </w:rPr>
        <w:t>až na aktuálních 7,27 %.</w:t>
      </w:r>
    </w:p>
    <w:p w14:paraId="30D29B13" w14:textId="3F032D4A" w:rsidR="007F5D6E" w:rsidRPr="005478C7" w:rsidRDefault="007F5D6E" w:rsidP="005478C7">
      <w:pPr>
        <w:widowControl/>
        <w:autoSpaceDE/>
        <w:autoSpaceDN/>
        <w:spacing w:before="100" w:beforeAutospacing="1" w:after="100" w:afterAutospacing="1"/>
        <w:jc w:val="both"/>
        <w:rPr>
          <w:rFonts w:asciiTheme="minorHAnsi" w:eastAsia="Times New Roman" w:hAnsiTheme="minorHAnsi" w:cstheme="minorHAnsi"/>
          <w:lang w:bidi="ar-SA"/>
        </w:rPr>
      </w:pPr>
      <w:r w:rsidRPr="005478C7">
        <w:rPr>
          <w:rFonts w:asciiTheme="minorHAnsi" w:hAnsiTheme="minorHAnsi" w:cstheme="minorHAnsi"/>
        </w:rPr>
        <w:t>Meziroční srovnání ukazuje ještě výraz</w:t>
      </w:r>
      <w:r w:rsidR="00507472">
        <w:rPr>
          <w:rFonts w:asciiTheme="minorHAnsi" w:hAnsiTheme="minorHAnsi" w:cstheme="minorHAnsi"/>
        </w:rPr>
        <w:t>nější rozdíl. Loni v červnu dosáhla</w:t>
      </w:r>
      <w:r w:rsidRPr="005478C7">
        <w:rPr>
          <w:rFonts w:asciiTheme="minorHAnsi" w:hAnsiTheme="minorHAnsi" w:cstheme="minorHAnsi"/>
        </w:rPr>
        <w:t xml:space="preserve"> průměrná sazba 8,33 %, předloni dokonce 8</w:t>
      </w:r>
      <w:r w:rsidR="005478C7">
        <w:rPr>
          <w:rFonts w:asciiTheme="minorHAnsi" w:hAnsiTheme="minorHAnsi" w:cstheme="minorHAnsi"/>
        </w:rPr>
        <w:t>,93 %. Oproti tomu aktuální hodnota představuje výrazný pokles, a to</w:t>
      </w:r>
      <w:r w:rsidRPr="005478C7">
        <w:rPr>
          <w:rFonts w:asciiTheme="minorHAnsi" w:hAnsiTheme="minorHAnsi" w:cstheme="minorHAnsi"/>
        </w:rPr>
        <w:t xml:space="preserve"> o více než jeden procentní bod. Klienti </w:t>
      </w:r>
      <w:r w:rsidR="005478C7">
        <w:rPr>
          <w:rFonts w:asciiTheme="minorHAnsi" w:hAnsiTheme="minorHAnsi" w:cstheme="minorHAnsi"/>
        </w:rPr>
        <w:t>tak získávají přístup k bezúčelovým půjčkám</w:t>
      </w:r>
      <w:r w:rsidRPr="005478C7">
        <w:rPr>
          <w:rFonts w:asciiTheme="minorHAnsi" w:hAnsiTheme="minorHAnsi" w:cstheme="minorHAnsi"/>
        </w:rPr>
        <w:t xml:space="preserve"> za výrazně výhodnějších podmínek než v předchozích letech.</w:t>
      </w:r>
    </w:p>
    <w:p w14:paraId="53776754" w14:textId="10411F67" w:rsidR="00FB65BA" w:rsidRDefault="00662F40" w:rsidP="00F65F8D">
      <w:pPr>
        <w:spacing w:after="120"/>
        <w:jc w:val="both"/>
        <w:rPr>
          <w:rFonts w:ascii="Calibri" w:eastAsia="Times New Roman" w:hAnsi="Calibri" w:cs="Calibri"/>
          <w:b/>
          <w:bCs/>
          <w:noProof/>
          <w:color w:val="000000"/>
          <w:sz w:val="21"/>
          <w:szCs w:val="21"/>
          <w:lang w:bidi="ar-SA"/>
        </w:rPr>
      </w:pPr>
      <w:r>
        <w:rPr>
          <w:rFonts w:ascii="Calibri" w:eastAsia="Times New Roman" w:hAnsi="Calibri" w:cs="Calibri"/>
          <w:b/>
          <w:bCs/>
          <w:noProof/>
          <w:color w:val="000000"/>
          <w:sz w:val="21"/>
          <w:szCs w:val="21"/>
          <w:lang w:bidi="ar-SA"/>
        </w:rPr>
        <w:drawing>
          <wp:inline distT="0" distB="0" distL="0" distR="0" wp14:anchorId="2D5E68E4" wp14:editId="441487E6">
            <wp:extent cx="6724650" cy="2974364"/>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png"/>
                    <pic:cNvPicPr/>
                  </pic:nvPicPr>
                  <pic:blipFill>
                    <a:blip r:embed="rId25">
                      <a:extLst>
                        <a:ext uri="{28A0092B-C50C-407E-A947-70E740481C1C}">
                          <a14:useLocalDpi xmlns:a14="http://schemas.microsoft.com/office/drawing/2010/main" val="0"/>
                        </a:ext>
                      </a:extLst>
                    </a:blip>
                    <a:stretch>
                      <a:fillRect/>
                    </a:stretch>
                  </pic:blipFill>
                  <pic:spPr>
                    <a:xfrm>
                      <a:off x="0" y="0"/>
                      <a:ext cx="6752208" cy="2986553"/>
                    </a:xfrm>
                    <a:prstGeom prst="rect">
                      <a:avLst/>
                    </a:prstGeom>
                  </pic:spPr>
                </pic:pic>
              </a:graphicData>
            </a:graphic>
          </wp:inline>
        </w:drawing>
      </w:r>
    </w:p>
    <w:p w14:paraId="0CD3DEE1" w14:textId="77777777" w:rsidR="00B8588E" w:rsidRPr="00B8588E" w:rsidRDefault="00B8588E" w:rsidP="00B8588E">
      <w:pPr>
        <w:pStyle w:val="Nadpis3"/>
        <w:ind w:left="0"/>
        <w:jc w:val="left"/>
        <w:rPr>
          <w:rFonts w:ascii="Calibri" w:eastAsia="Times New Roman" w:hAnsi="Calibri" w:cs="Calibri"/>
          <w:b/>
          <w:bCs/>
          <w:color w:val="000000"/>
          <w:sz w:val="28"/>
          <w:szCs w:val="28"/>
        </w:rPr>
      </w:pPr>
    </w:p>
    <w:p w14:paraId="1215221A" w14:textId="0B15BE35" w:rsidR="005478C7" w:rsidRPr="005478C7" w:rsidRDefault="000C07FE" w:rsidP="005478C7">
      <w:pPr>
        <w:pStyle w:val="Nadpis3"/>
        <w:ind w:left="0"/>
        <w:jc w:val="both"/>
        <w:rPr>
          <w:rFonts w:asciiTheme="minorHAnsi" w:hAnsiTheme="minorHAnsi" w:cstheme="minorHAnsi"/>
          <w:b/>
          <w:sz w:val="28"/>
          <w:szCs w:val="28"/>
        </w:rPr>
      </w:pPr>
      <w:r w:rsidRPr="005478C7">
        <w:rPr>
          <w:rFonts w:asciiTheme="minorHAnsi" w:hAnsiTheme="minorHAnsi" w:cstheme="minorHAnsi"/>
          <w:b/>
          <w:sz w:val="28"/>
          <w:szCs w:val="28"/>
        </w:rPr>
        <w:t>Prázdninová půjčka?</w:t>
      </w:r>
    </w:p>
    <w:p w14:paraId="4C674D32" w14:textId="3C8470D8" w:rsidR="005478C7" w:rsidRPr="005478C7" w:rsidRDefault="005478C7" w:rsidP="00507472">
      <w:pPr>
        <w:widowControl/>
        <w:autoSpaceDE/>
        <w:autoSpaceDN/>
        <w:spacing w:before="100" w:beforeAutospacing="1" w:after="100" w:afterAutospacing="1"/>
        <w:jc w:val="both"/>
        <w:rPr>
          <w:rFonts w:asciiTheme="minorHAnsi" w:eastAsia="Times New Roman" w:hAnsiTheme="minorHAnsi" w:cstheme="minorHAnsi"/>
          <w:lang w:bidi="ar-SA"/>
        </w:rPr>
      </w:pPr>
      <w:r w:rsidRPr="005478C7">
        <w:rPr>
          <w:rFonts w:asciiTheme="minorHAnsi" w:eastAsia="Times New Roman" w:hAnsiTheme="minorHAnsi" w:cstheme="minorHAnsi"/>
          <w:lang w:bidi="ar-SA"/>
        </w:rPr>
        <w:t>Začátek letních prázdnin bývá obdobím, kdy lidé častěji sahají po spotřebitelských úvěrech. Důvodem jsou mimořádné</w:t>
      </w:r>
      <w:r w:rsidRPr="00507472">
        <w:rPr>
          <w:rFonts w:asciiTheme="minorHAnsi" w:eastAsia="Times New Roman" w:hAnsiTheme="minorHAnsi" w:cstheme="minorHAnsi"/>
          <w:lang w:bidi="ar-SA"/>
        </w:rPr>
        <w:t xml:space="preserve"> výdaje, které se s létem pojí,</w:t>
      </w:r>
      <w:r w:rsidRPr="005478C7">
        <w:rPr>
          <w:rFonts w:asciiTheme="minorHAnsi" w:eastAsia="Times New Roman" w:hAnsiTheme="minorHAnsi" w:cstheme="minorHAnsi"/>
          <w:lang w:bidi="ar-SA"/>
        </w:rPr>
        <w:t xml:space="preserve"> ať už jde o dovolenou u moře, letní tábory pro děti, sportovní vybavení, opravy na chalupě nebo třeba nový zahradní nábytek. Výrazně se tak zvyšuje poptávka po rychlém financování, což banky i nebankovní instituce reflektují</w:t>
      </w:r>
      <w:r w:rsidR="00507472" w:rsidRPr="00507472">
        <w:rPr>
          <w:rFonts w:asciiTheme="minorHAnsi" w:eastAsia="Times New Roman" w:hAnsiTheme="minorHAnsi" w:cstheme="minorHAnsi"/>
          <w:lang w:bidi="ar-SA"/>
        </w:rPr>
        <w:t xml:space="preserve"> a nabízejí nejrůznější benefity v podobě </w:t>
      </w:r>
      <w:r w:rsidR="00507472" w:rsidRPr="00507472">
        <w:rPr>
          <w:rFonts w:asciiTheme="minorHAnsi" w:eastAsia="Times New Roman" w:hAnsiTheme="minorHAnsi" w:cstheme="minorHAnsi"/>
          <w:bCs/>
          <w:lang w:bidi="ar-SA"/>
        </w:rPr>
        <w:t>nižších úrokových sazeb, možnosti o</w:t>
      </w:r>
      <w:r w:rsidRPr="00507472">
        <w:rPr>
          <w:rFonts w:asciiTheme="minorHAnsi" w:eastAsia="Times New Roman" w:hAnsiTheme="minorHAnsi" w:cstheme="minorHAnsi"/>
          <w:bCs/>
          <w:lang w:bidi="ar-SA"/>
        </w:rPr>
        <w:t>dklad</w:t>
      </w:r>
      <w:r w:rsidR="00507472" w:rsidRPr="00507472">
        <w:rPr>
          <w:rFonts w:asciiTheme="minorHAnsi" w:eastAsia="Times New Roman" w:hAnsiTheme="minorHAnsi" w:cstheme="minorHAnsi"/>
          <w:bCs/>
          <w:lang w:bidi="ar-SA"/>
        </w:rPr>
        <w:t>u</w:t>
      </w:r>
      <w:r w:rsidRPr="00507472">
        <w:rPr>
          <w:rFonts w:asciiTheme="minorHAnsi" w:eastAsia="Times New Roman" w:hAnsiTheme="minorHAnsi" w:cstheme="minorHAnsi"/>
          <w:bCs/>
          <w:lang w:bidi="ar-SA"/>
        </w:rPr>
        <w:t xml:space="preserve"> splátek o několik měsíců</w:t>
      </w:r>
      <w:r w:rsidRPr="005478C7">
        <w:rPr>
          <w:rFonts w:asciiTheme="minorHAnsi" w:eastAsia="Times New Roman" w:hAnsiTheme="minorHAnsi" w:cstheme="minorHAnsi"/>
          <w:lang w:bidi="ar-SA"/>
        </w:rPr>
        <w:t xml:space="preserve">, nebo </w:t>
      </w:r>
      <w:r w:rsidRPr="00507472">
        <w:rPr>
          <w:rFonts w:asciiTheme="minorHAnsi" w:eastAsia="Times New Roman" w:hAnsiTheme="minorHAnsi" w:cstheme="minorHAnsi"/>
          <w:bCs/>
          <w:lang w:bidi="ar-SA"/>
        </w:rPr>
        <w:t>bonusy za včasné a řádné splácení</w:t>
      </w:r>
      <w:r w:rsidRPr="005478C7">
        <w:rPr>
          <w:rFonts w:asciiTheme="minorHAnsi" w:eastAsia="Times New Roman" w:hAnsiTheme="minorHAnsi" w:cstheme="minorHAnsi"/>
          <w:lang w:bidi="ar-SA"/>
        </w:rPr>
        <w:t>.</w:t>
      </w:r>
    </w:p>
    <w:p w14:paraId="4FD2A33F" w14:textId="1383A4EF" w:rsidR="000C07FE" w:rsidRPr="00507472" w:rsidRDefault="005478C7" w:rsidP="00507472">
      <w:pPr>
        <w:widowControl/>
        <w:autoSpaceDE/>
        <w:autoSpaceDN/>
        <w:spacing w:before="100" w:beforeAutospacing="1" w:after="100" w:afterAutospacing="1"/>
        <w:jc w:val="both"/>
        <w:rPr>
          <w:rFonts w:asciiTheme="minorHAnsi" w:eastAsia="Times New Roman" w:hAnsiTheme="minorHAnsi" w:cstheme="minorHAnsi"/>
          <w:lang w:bidi="ar-SA"/>
        </w:rPr>
      </w:pPr>
      <w:r w:rsidRPr="005478C7">
        <w:rPr>
          <w:rFonts w:asciiTheme="minorHAnsi" w:eastAsia="Times New Roman" w:hAnsiTheme="minorHAnsi" w:cstheme="minorHAnsi"/>
          <w:lang w:bidi="ar-SA"/>
        </w:rPr>
        <w:t xml:space="preserve">Přestože tyto nabídky mohou vypadat atraktivně, je důležité nepodlehnout prvnímu dojmu. </w:t>
      </w:r>
      <w:r w:rsidRPr="005478C7">
        <w:rPr>
          <w:rFonts w:asciiTheme="minorHAnsi" w:eastAsia="Times New Roman" w:hAnsiTheme="minorHAnsi" w:cstheme="minorHAnsi"/>
          <w:i/>
          <w:lang w:bidi="ar-SA"/>
        </w:rPr>
        <w:t xml:space="preserve">„Je pochopitelné, že lidé chtějí dopřát sobě i rodině krásné léto. Pokud ale kvůli tomu sáhnou po půjčce, je důležité zvážit, zda ji budou schopni </w:t>
      </w:r>
      <w:r w:rsidRPr="005478C7">
        <w:rPr>
          <w:rFonts w:asciiTheme="minorHAnsi" w:eastAsia="Times New Roman" w:hAnsiTheme="minorHAnsi" w:cstheme="minorHAnsi"/>
          <w:i/>
          <w:lang w:bidi="ar-SA"/>
        </w:rPr>
        <w:lastRenderedPageBreak/>
        <w:t>pohodlně splácet i v dalších měsících,“</w:t>
      </w:r>
      <w:r w:rsidRPr="005478C7">
        <w:rPr>
          <w:rFonts w:asciiTheme="minorHAnsi" w:eastAsia="Times New Roman" w:hAnsiTheme="minorHAnsi" w:cstheme="minorHAnsi"/>
          <w:lang w:bidi="ar-SA"/>
        </w:rPr>
        <w:t xml:space="preserve"> upozorňuje </w:t>
      </w:r>
      <w:r w:rsidRPr="005478C7">
        <w:rPr>
          <w:rFonts w:asciiTheme="minorHAnsi" w:eastAsia="Times New Roman" w:hAnsiTheme="minorHAnsi" w:cstheme="minorHAnsi"/>
          <w:b/>
          <w:lang w:bidi="ar-SA"/>
        </w:rPr>
        <w:t>Michaela Pudilová ze společnosti Broker Consulting</w:t>
      </w:r>
      <w:r w:rsidRPr="005478C7">
        <w:rPr>
          <w:rFonts w:asciiTheme="minorHAnsi" w:eastAsia="Times New Roman" w:hAnsiTheme="minorHAnsi" w:cstheme="minorHAnsi"/>
          <w:lang w:bidi="ar-SA"/>
        </w:rPr>
        <w:t>. Podle ní je vždy lepší plánovat letní výdaje s předstihem a využít k nim vlastní úspory, než se spoléhat na úvěrové produkty, které mohou zatížit rodinný rozpočet.</w:t>
      </w:r>
      <w:r w:rsidR="00507472" w:rsidRPr="00507472">
        <w:rPr>
          <w:rFonts w:asciiTheme="minorHAnsi" w:eastAsia="Times New Roman" w:hAnsiTheme="minorHAnsi" w:cstheme="minorHAnsi"/>
          <w:lang w:bidi="ar-SA"/>
        </w:rPr>
        <w:t xml:space="preserve"> </w:t>
      </w:r>
      <w:r w:rsidRPr="005478C7">
        <w:rPr>
          <w:rFonts w:asciiTheme="minorHAnsi" w:eastAsia="Times New Roman" w:hAnsiTheme="minorHAnsi" w:cstheme="minorHAnsi"/>
          <w:lang w:bidi="ar-SA"/>
        </w:rPr>
        <w:t>Zvláštní opatrnost by měli zachovat zejména ti, kt</w:t>
      </w:r>
      <w:r w:rsidR="00507472" w:rsidRPr="00507472">
        <w:rPr>
          <w:rFonts w:asciiTheme="minorHAnsi" w:eastAsia="Times New Roman" w:hAnsiTheme="minorHAnsi" w:cstheme="minorHAnsi"/>
          <w:lang w:bidi="ar-SA"/>
        </w:rPr>
        <w:t xml:space="preserve">eří už nyní splácejí jiné úvěry. </w:t>
      </w:r>
    </w:p>
    <w:p w14:paraId="0D84E859" w14:textId="77777777" w:rsidR="00070317" w:rsidRPr="00EF6D8C" w:rsidRDefault="00070317" w:rsidP="00DF7709">
      <w:pPr>
        <w:pBdr>
          <w:bottom w:val="single" w:sz="4" w:space="1" w:color="auto"/>
        </w:pBdr>
        <w:jc w:val="both"/>
        <w:rPr>
          <w:rFonts w:asciiTheme="minorHAnsi" w:hAnsiTheme="minorHAnsi" w:cstheme="minorHAnsi"/>
          <w:bCs/>
          <w:sz w:val="2"/>
          <w:szCs w:val="2"/>
        </w:rPr>
      </w:pPr>
    </w:p>
    <w:p w14:paraId="4CF17F9A" w14:textId="158230B1" w:rsidR="00C10C80" w:rsidRPr="00EF6D8C" w:rsidRDefault="008F3C6D" w:rsidP="00EE3451">
      <w:pPr>
        <w:spacing w:before="120"/>
        <w:rPr>
          <w:rFonts w:asciiTheme="minorHAnsi" w:hAnsiTheme="minorHAnsi" w:cstheme="minorHAnsi"/>
          <w:b/>
          <w:sz w:val="21"/>
          <w:szCs w:val="21"/>
        </w:rPr>
      </w:pPr>
      <w:r w:rsidRPr="00EF6D8C">
        <w:rPr>
          <w:rFonts w:asciiTheme="minorHAnsi" w:hAnsiTheme="minorHAnsi" w:cstheme="minorHAnsi"/>
          <w:b/>
          <w:sz w:val="21"/>
          <w:szCs w:val="21"/>
        </w:rPr>
        <w:t>Broker Consulting Index spotřebitelských úvěrů</w:t>
      </w:r>
      <w:r w:rsidRPr="00EF6D8C">
        <w:rPr>
          <w:rFonts w:asciiTheme="minorHAnsi" w:hAnsiTheme="minorHAnsi" w:cstheme="minorHAnsi"/>
          <w:sz w:val="21"/>
          <w:szCs w:val="21"/>
        </w:rPr>
        <w:t xml:space="preserve"> je analytický nástroj, který ukazuje průměrnou úrokovou sazbu </w:t>
      </w:r>
      <w:r w:rsidR="00BE768F" w:rsidRPr="00EF6D8C">
        <w:rPr>
          <w:rFonts w:asciiTheme="minorHAnsi" w:hAnsiTheme="minorHAnsi" w:cstheme="minorHAnsi"/>
          <w:sz w:val="21"/>
          <w:szCs w:val="21"/>
        </w:rPr>
        <w:br/>
      </w:r>
      <w:r w:rsidRPr="00EF6D8C">
        <w:rPr>
          <w:rFonts w:asciiTheme="minorHAnsi" w:hAnsiTheme="minorHAnsi" w:cstheme="minorHAnsi"/>
          <w:sz w:val="21"/>
          <w:szCs w:val="21"/>
        </w:rPr>
        <w:t>u spotřebitelských úvěrů, jež zprostředkovali konzultanti Brok</w:t>
      </w:r>
      <w:r w:rsidR="00BB537C">
        <w:rPr>
          <w:rFonts w:asciiTheme="minorHAnsi" w:hAnsiTheme="minorHAnsi" w:cstheme="minorHAnsi"/>
          <w:sz w:val="21"/>
          <w:szCs w:val="21"/>
        </w:rPr>
        <w:t>er Consulting a pobočky Broker Point či Broker Point Premium,</w:t>
      </w:r>
      <w:r w:rsidR="00C67476">
        <w:rPr>
          <w:rFonts w:asciiTheme="minorHAnsi" w:hAnsiTheme="minorHAnsi" w:cstheme="minorHAnsi"/>
          <w:sz w:val="21"/>
          <w:szCs w:val="21"/>
        </w:rPr>
        <w:t xml:space="preserve"> u poskytovatelů</w:t>
      </w:r>
      <w:r w:rsidRPr="00EF6D8C">
        <w:rPr>
          <w:rFonts w:asciiTheme="minorHAnsi" w:hAnsiTheme="minorHAnsi" w:cstheme="minorHAnsi"/>
          <w:sz w:val="21"/>
          <w:szCs w:val="21"/>
        </w:rPr>
        <w:t xml:space="preserve"> bankovních </w:t>
      </w:r>
      <w:r w:rsidR="00C67476">
        <w:rPr>
          <w:rFonts w:asciiTheme="minorHAnsi" w:hAnsiTheme="minorHAnsi" w:cstheme="minorHAnsi"/>
          <w:sz w:val="21"/>
          <w:szCs w:val="21"/>
        </w:rPr>
        <w:t xml:space="preserve">a nebankovních </w:t>
      </w:r>
      <w:r w:rsidRPr="00EF6D8C">
        <w:rPr>
          <w:rFonts w:asciiTheme="minorHAnsi" w:hAnsiTheme="minorHAnsi" w:cstheme="minorHAnsi"/>
          <w:sz w:val="21"/>
          <w:szCs w:val="21"/>
        </w:rPr>
        <w:t>úvěrů. Jedná se o vážený aritmetický průměr, kdy hlavní vahou je objem úvěru. Tedy čím vyšší úvěr, tím jeho sazba do Indexu vstupuje větší vahou. Výhodou metody výpočtu je to, že se do stati</w:t>
      </w:r>
      <w:r w:rsidR="009066E9" w:rsidRPr="00EF6D8C">
        <w:rPr>
          <w:rFonts w:asciiTheme="minorHAnsi" w:hAnsiTheme="minorHAnsi" w:cstheme="minorHAnsi"/>
          <w:sz w:val="21"/>
          <w:szCs w:val="21"/>
        </w:rPr>
        <w:t xml:space="preserve">stiky dostávají pouze  skutečně schválené </w:t>
      </w:r>
      <w:r w:rsidRPr="00EF6D8C">
        <w:rPr>
          <w:rFonts w:asciiTheme="minorHAnsi" w:hAnsiTheme="minorHAnsi" w:cstheme="minorHAnsi"/>
          <w:sz w:val="21"/>
          <w:szCs w:val="21"/>
        </w:rPr>
        <w:t xml:space="preserve">úvěry, a to bez výjimky všechny. Nemůže tak </w:t>
      </w:r>
      <w:r w:rsidR="00EE3451" w:rsidRPr="00EF6D8C">
        <w:rPr>
          <w:rFonts w:asciiTheme="minorHAnsi" w:hAnsiTheme="minorHAnsi" w:cstheme="minorHAnsi"/>
          <w:sz w:val="21"/>
          <w:szCs w:val="21"/>
        </w:rPr>
        <w:t>dojít ke zkreslení informací a i</w:t>
      </w:r>
      <w:r w:rsidRPr="00EF6D8C">
        <w:rPr>
          <w:rFonts w:asciiTheme="minorHAnsi" w:hAnsiTheme="minorHAnsi" w:cstheme="minorHAnsi"/>
          <w:sz w:val="21"/>
          <w:szCs w:val="21"/>
        </w:rPr>
        <w:t>ndex není závislý na datech dodávaných třetími stranami.</w:t>
      </w:r>
      <w:r w:rsidRPr="00EF6D8C">
        <w:rPr>
          <w:rFonts w:asciiTheme="minorHAnsi" w:hAnsiTheme="minorHAnsi" w:cstheme="minorHAnsi"/>
          <w:b/>
          <w:sz w:val="21"/>
          <w:szCs w:val="21"/>
        </w:rPr>
        <w:tab/>
      </w:r>
    </w:p>
    <w:p w14:paraId="2FA3FD44" w14:textId="1E7A17D8" w:rsidR="008F3C6D" w:rsidRPr="00EF6D8C" w:rsidRDefault="008F3C6D" w:rsidP="00EE3451">
      <w:pPr>
        <w:spacing w:before="120" w:after="120"/>
        <w:rPr>
          <w:rFonts w:asciiTheme="minorHAnsi" w:hAnsiTheme="minorHAnsi" w:cstheme="minorHAnsi"/>
          <w:b/>
          <w:sz w:val="21"/>
          <w:szCs w:val="21"/>
        </w:rPr>
      </w:pPr>
      <w:r w:rsidRPr="00EF6D8C">
        <w:rPr>
          <w:rFonts w:asciiTheme="minorHAnsi" w:hAnsiTheme="minorHAnsi" w:cstheme="minorHAnsi"/>
          <w:b/>
          <w:sz w:val="21"/>
          <w:szCs w:val="21"/>
        </w:rPr>
        <w:t>Proč je dobré Index sledovat</w:t>
      </w:r>
      <w:r w:rsidRPr="00EF6D8C">
        <w:rPr>
          <w:rFonts w:asciiTheme="minorHAnsi" w:hAnsiTheme="minorHAnsi" w:cstheme="minorHAnsi"/>
          <w:b/>
          <w:sz w:val="21"/>
          <w:szCs w:val="21"/>
        </w:rPr>
        <w:tab/>
      </w:r>
    </w:p>
    <w:p w14:paraId="0979CE30" w14:textId="3E92A1D6" w:rsidR="008B3925" w:rsidRPr="00EF6D8C" w:rsidRDefault="008F3C6D" w:rsidP="00EF6D8C">
      <w:pPr>
        <w:pBdr>
          <w:bottom w:val="single" w:sz="4" w:space="1" w:color="auto"/>
        </w:pBdr>
        <w:spacing w:after="120"/>
        <w:rPr>
          <w:rFonts w:asciiTheme="minorHAnsi" w:hAnsiTheme="minorHAnsi" w:cstheme="minorHAnsi"/>
          <w:sz w:val="21"/>
          <w:szCs w:val="21"/>
        </w:rPr>
      </w:pPr>
      <w:r w:rsidRPr="00EF6D8C">
        <w:rPr>
          <w:rFonts w:asciiTheme="minorHAnsi" w:hAnsiTheme="minorHAnsi" w:cstheme="minorHAnsi"/>
          <w:sz w:val="21"/>
          <w:szCs w:val="21"/>
        </w:rPr>
        <w:t xml:space="preserve">Broker Consulting Index spotřebitelských úvěrů zachycuje vývoj úrokových sazeb u spotřebitelských </w:t>
      </w:r>
      <w:bookmarkStart w:id="0" w:name="_GoBack"/>
      <w:bookmarkEnd w:id="0"/>
      <w:r w:rsidRPr="00EF6D8C">
        <w:rPr>
          <w:rFonts w:asciiTheme="minorHAnsi" w:hAnsiTheme="minorHAnsi" w:cstheme="minorHAnsi"/>
          <w:sz w:val="21"/>
          <w:szCs w:val="21"/>
        </w:rPr>
        <w:t>úvěrů. Je praktickým indikátorem toho, jak se pro českou veřejnost úvěry vyvíjejí z hlediska úrokových sazeb, a tedy i výše splátek na určitou půjčenou sumu. Lidé si tyto typy úvěrů berou, aby financovali různé potřeby. Od dovolené přes nový telefon až po překlenutí nějaké 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 bance, nebo v nebankovní instituci</w:t>
      </w:r>
      <w:r w:rsidR="00FE619E" w:rsidRPr="00EF6D8C">
        <w:rPr>
          <w:rFonts w:asciiTheme="minorHAnsi" w:hAnsiTheme="minorHAnsi" w:cstheme="minorHAnsi"/>
          <w:sz w:val="21"/>
          <w:szCs w:val="21"/>
        </w:rPr>
        <w:t>,</w:t>
      </w:r>
      <w:r w:rsidRPr="00EF6D8C">
        <w:rPr>
          <w:rFonts w:asciiTheme="minorHAnsi" w:hAnsiTheme="minorHAnsi" w:cstheme="minorHAnsi"/>
          <w:sz w:val="21"/>
          <w:szCs w:val="21"/>
        </w:rPr>
        <w:t xml:space="preserve"> a úroková sazba je výrazněji vyšší než aktuální index, je potřeba zpozornět.</w:t>
      </w:r>
      <w:r w:rsidRPr="00EF6D8C">
        <w:rPr>
          <w:rFonts w:asciiTheme="minorHAnsi" w:hAnsiTheme="minorHAnsi" w:cstheme="minorHAnsi"/>
          <w:sz w:val="21"/>
          <w:szCs w:val="21"/>
        </w:rPr>
        <w:tab/>
      </w:r>
    </w:p>
    <w:p w14:paraId="5F16FECD" w14:textId="69AB3698" w:rsidR="008F3C6D" w:rsidRPr="00EF6D8C" w:rsidRDefault="008F3C6D" w:rsidP="008F3C6D">
      <w:pPr>
        <w:jc w:val="both"/>
        <w:rPr>
          <w:rFonts w:asciiTheme="minorHAnsi" w:hAnsiTheme="minorHAnsi" w:cstheme="minorHAnsi"/>
          <w:sz w:val="21"/>
          <w:szCs w:val="21"/>
        </w:rPr>
      </w:pPr>
    </w:p>
    <w:p w14:paraId="685A4AD2" w14:textId="23A7A74E" w:rsidR="00B51F55" w:rsidRPr="00EF6D8C" w:rsidRDefault="00B51F55" w:rsidP="00EF6D8C">
      <w:pPr>
        <w:spacing w:after="120"/>
        <w:rPr>
          <w:rFonts w:asciiTheme="minorHAnsi" w:hAnsiTheme="minorHAnsi" w:cstheme="minorHAnsi"/>
          <w:sz w:val="21"/>
          <w:szCs w:val="21"/>
        </w:rPr>
      </w:pPr>
      <w:r w:rsidRPr="00EF6D8C">
        <w:rPr>
          <w:rFonts w:asciiTheme="minorHAnsi" w:hAnsiTheme="minorHAnsi" w:cstheme="minorHAnsi"/>
          <w:b/>
          <w:sz w:val="21"/>
          <w:szCs w:val="21"/>
        </w:rPr>
        <w:t>Poznámka pro média:</w:t>
      </w:r>
      <w:r w:rsidRPr="00EF6D8C">
        <w:rPr>
          <w:rFonts w:asciiTheme="minorHAnsi" w:hAnsiTheme="minorHAnsi" w:cstheme="minorHAnsi"/>
          <w:sz w:val="21"/>
          <w:szCs w:val="21"/>
        </w:rPr>
        <w:t xml:space="preserve"> </w:t>
      </w:r>
      <w:r w:rsidRPr="00EF6D8C">
        <w:rPr>
          <w:rFonts w:asciiTheme="minorHAnsi" w:hAnsiTheme="minorHAnsi" w:cstheme="minorHAnsi"/>
          <w:color w:val="1D1D1B"/>
          <w:w w:val="105"/>
          <w:sz w:val="21"/>
          <w:szCs w:val="21"/>
        </w:rPr>
        <w:t>Broker</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Consulting</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Indexy</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je</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možné</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volně</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spacing w:val="2"/>
          <w:w w:val="105"/>
          <w:sz w:val="21"/>
          <w:szCs w:val="21"/>
        </w:rPr>
        <w:t>publikovat</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pouze</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s</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označením</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„Broker</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Consulting</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Index“</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spacing w:val="-3"/>
          <w:w w:val="105"/>
          <w:sz w:val="21"/>
          <w:szCs w:val="21"/>
        </w:rPr>
        <w:t>(</w:t>
      </w:r>
      <w:r w:rsidRPr="00EF6D8C">
        <w:rPr>
          <w:rFonts w:asciiTheme="minorHAnsi" w:hAnsiTheme="minorHAnsi" w:cstheme="minorHAnsi"/>
          <w:i/>
          <w:color w:val="1D1D1B"/>
          <w:spacing w:val="-3"/>
          <w:w w:val="105"/>
          <w:sz w:val="21"/>
          <w:szCs w:val="21"/>
        </w:rPr>
        <w:t>např.</w:t>
      </w:r>
      <w:r w:rsidRPr="00EF6D8C">
        <w:rPr>
          <w:rFonts w:asciiTheme="minorHAnsi" w:hAnsiTheme="minorHAnsi" w:cstheme="minorHAnsi"/>
          <w:i/>
          <w:color w:val="1D1D1B"/>
          <w:spacing w:val="-8"/>
          <w:w w:val="105"/>
          <w:sz w:val="21"/>
          <w:szCs w:val="21"/>
        </w:rPr>
        <w:t xml:space="preserve"> </w:t>
      </w:r>
      <w:r w:rsidRPr="00EF6D8C">
        <w:rPr>
          <w:rFonts w:asciiTheme="minorHAnsi" w:hAnsiTheme="minorHAnsi" w:cstheme="minorHAnsi"/>
          <w:i/>
          <w:color w:val="1D1D1B"/>
          <w:w w:val="105"/>
          <w:sz w:val="21"/>
          <w:szCs w:val="21"/>
        </w:rPr>
        <w:t>Broker</w:t>
      </w:r>
      <w:r w:rsidRPr="00EF6D8C">
        <w:rPr>
          <w:rFonts w:asciiTheme="minorHAnsi" w:hAnsiTheme="minorHAnsi" w:cstheme="minorHAnsi"/>
          <w:i/>
          <w:color w:val="1D1D1B"/>
          <w:spacing w:val="-9"/>
          <w:w w:val="105"/>
          <w:sz w:val="21"/>
          <w:szCs w:val="21"/>
        </w:rPr>
        <w:t xml:space="preserve"> </w:t>
      </w:r>
      <w:r w:rsidRPr="00EF6D8C">
        <w:rPr>
          <w:rFonts w:asciiTheme="minorHAnsi" w:hAnsiTheme="minorHAnsi" w:cstheme="minorHAnsi"/>
          <w:i/>
          <w:color w:val="1D1D1B"/>
          <w:w w:val="105"/>
          <w:sz w:val="21"/>
          <w:szCs w:val="21"/>
        </w:rPr>
        <w:t>Consulting</w:t>
      </w:r>
      <w:r w:rsidRPr="00EF6D8C">
        <w:rPr>
          <w:rFonts w:asciiTheme="minorHAnsi" w:hAnsiTheme="minorHAnsi" w:cstheme="minorHAnsi"/>
          <w:i/>
          <w:color w:val="1D1D1B"/>
          <w:spacing w:val="-8"/>
          <w:w w:val="105"/>
          <w:sz w:val="21"/>
          <w:szCs w:val="21"/>
        </w:rPr>
        <w:t xml:space="preserve"> Index </w:t>
      </w:r>
      <w:r w:rsidRPr="00EF6D8C">
        <w:rPr>
          <w:rFonts w:asciiTheme="minorHAnsi" w:hAnsiTheme="minorHAnsi" w:cstheme="minorHAnsi"/>
          <w:i/>
          <w:color w:val="1D1D1B"/>
          <w:w w:val="105"/>
          <w:sz w:val="21"/>
          <w:szCs w:val="21"/>
        </w:rPr>
        <w:t>hypoteční</w:t>
      </w:r>
      <w:r w:rsidRPr="00EF6D8C">
        <w:rPr>
          <w:rFonts w:asciiTheme="minorHAnsi" w:hAnsiTheme="minorHAnsi" w:cstheme="minorHAnsi"/>
          <w:i/>
          <w:color w:val="1D1D1B"/>
          <w:spacing w:val="-9"/>
          <w:w w:val="105"/>
          <w:sz w:val="21"/>
          <w:szCs w:val="21"/>
        </w:rPr>
        <w:t>ch úvěrů</w:t>
      </w:r>
      <w:r w:rsidRPr="00EF6D8C">
        <w:rPr>
          <w:rFonts w:asciiTheme="minorHAnsi" w:hAnsiTheme="minorHAnsi" w:cstheme="minorHAnsi"/>
          <w:i/>
          <w:color w:val="1D1D1B"/>
          <w:w w:val="105"/>
          <w:sz w:val="21"/>
          <w:szCs w:val="21"/>
        </w:rPr>
        <w:t xml:space="preserve">). Více informací najdete též na webu </w:t>
      </w:r>
      <w:r w:rsidRPr="00EF6D8C">
        <w:rPr>
          <w:rStyle w:val="Hypertextovodkaz"/>
          <w:rFonts w:asciiTheme="minorHAnsi" w:hAnsiTheme="minorHAnsi" w:cstheme="minorHAnsi"/>
          <w:i/>
          <w:w w:val="105"/>
          <w:sz w:val="21"/>
          <w:szCs w:val="21"/>
        </w:rPr>
        <w:t>https://www.bcas.cz/onas/pro-media/</w:t>
      </w:r>
      <w:r w:rsidRPr="00EF6D8C">
        <w:rPr>
          <w:rFonts w:asciiTheme="minorHAnsi" w:hAnsiTheme="minorHAnsi" w:cstheme="minorHAnsi"/>
          <w:i/>
          <w:color w:val="1D1D1B"/>
          <w:w w:val="105"/>
          <w:sz w:val="21"/>
          <w:szCs w:val="21"/>
        </w:rPr>
        <w:t xml:space="preserve">. </w:t>
      </w:r>
    </w:p>
    <w:p w14:paraId="5245244C" w14:textId="59FD1ED6" w:rsidR="007563D8" w:rsidRPr="00EF6D8C" w:rsidRDefault="007563D8" w:rsidP="00A2244B">
      <w:pPr>
        <w:rPr>
          <w:rFonts w:asciiTheme="minorHAnsi" w:hAnsiTheme="minorHAnsi" w:cstheme="minorHAnsi"/>
          <w:b/>
          <w:color w:val="1D1D1B"/>
          <w:w w:val="105"/>
          <w:sz w:val="21"/>
          <w:szCs w:val="21"/>
        </w:rPr>
      </w:pPr>
      <w:r w:rsidRPr="00EF6D8C">
        <w:rPr>
          <w:rFonts w:asciiTheme="minorHAnsi" w:hAnsiTheme="minorHAnsi" w:cstheme="minorHAnsi"/>
          <w:b/>
          <w:color w:val="FF0000"/>
          <w:w w:val="105"/>
          <w:sz w:val="21"/>
          <w:szCs w:val="21"/>
        </w:rPr>
        <w:t>Broker Consulting Indexy je nyní možné sledovat v interaktivní formě na webu</w:t>
      </w:r>
      <w:r w:rsidRPr="00EF6D8C">
        <w:rPr>
          <w:rFonts w:asciiTheme="minorHAnsi" w:hAnsiTheme="minorHAnsi" w:cstheme="minorHAnsi"/>
          <w:color w:val="1D1D1B"/>
          <w:w w:val="105"/>
          <w:sz w:val="21"/>
          <w:szCs w:val="21"/>
        </w:rPr>
        <w:t>. Zde lze zároveň exportovat zdrojová data ke grafům. Vice dostupné na odkaze</w:t>
      </w:r>
      <w:r w:rsidRPr="00EF6D8C">
        <w:rPr>
          <w:rFonts w:asciiTheme="minorHAnsi" w:hAnsiTheme="minorHAnsi" w:cstheme="minorHAnsi"/>
          <w:b/>
          <w:color w:val="1D1D1B"/>
          <w:w w:val="105"/>
          <w:sz w:val="21"/>
          <w:szCs w:val="21"/>
        </w:rPr>
        <w:t xml:space="preserve">: </w:t>
      </w:r>
      <w:hyperlink r:id="rId26" w:history="1">
        <w:r w:rsidRPr="00EF6D8C">
          <w:rPr>
            <w:rStyle w:val="Hypertextovodkaz"/>
            <w:rFonts w:asciiTheme="minorHAnsi" w:hAnsiTheme="minorHAnsi" w:cstheme="minorHAnsi"/>
            <w:b/>
            <w:sz w:val="21"/>
            <w:szCs w:val="21"/>
          </w:rPr>
          <w:t>https://www.bcas.cz/o-nas/broker-consulting-index-spotrebitelskych-uveru/</w:t>
        </w:r>
      </w:hyperlink>
      <w:r w:rsidRPr="00EF6D8C">
        <w:rPr>
          <w:rFonts w:asciiTheme="minorHAnsi" w:hAnsiTheme="minorHAnsi" w:cstheme="minorHAnsi"/>
          <w:b/>
          <w:sz w:val="21"/>
          <w:szCs w:val="21"/>
        </w:rPr>
        <w:t xml:space="preserve">. </w:t>
      </w:r>
    </w:p>
    <w:p w14:paraId="3FDF8955" w14:textId="399F6C6F" w:rsidR="00EF6D8C" w:rsidRPr="00EF6D8C" w:rsidRDefault="008F3C6D" w:rsidP="00EF6D8C">
      <w:pPr>
        <w:spacing w:before="120"/>
        <w:rPr>
          <w:rFonts w:asciiTheme="minorHAnsi" w:eastAsia="Calibri" w:hAnsiTheme="minorHAnsi" w:cstheme="minorHAnsi"/>
          <w:b/>
          <w:bCs/>
          <w:noProof/>
          <w:sz w:val="21"/>
          <w:szCs w:val="21"/>
        </w:rPr>
      </w:pPr>
      <w:r w:rsidRPr="00EF6D8C">
        <w:rPr>
          <w:rFonts w:asciiTheme="minorHAnsi" w:eastAsia="Calibri" w:hAnsiTheme="minorHAnsi" w:cstheme="minorHAnsi"/>
          <w:b/>
          <w:bCs/>
          <w:noProof/>
          <w:sz w:val="21"/>
          <w:szCs w:val="21"/>
        </w:rPr>
        <w:t>Kontakt pro média:</w:t>
      </w:r>
    </w:p>
    <w:p w14:paraId="3450A3C2" w14:textId="77777777" w:rsidR="00624358" w:rsidRPr="00AD79CC" w:rsidRDefault="00624358" w:rsidP="00624358">
      <w:pPr>
        <w:pStyle w:val="Bezmezer"/>
        <w:rPr>
          <w:rFonts w:eastAsia="F015TEELig" w:cstheme="minorHAnsi"/>
          <w:sz w:val="21"/>
          <w:szCs w:val="21"/>
        </w:rPr>
      </w:pPr>
      <w:r>
        <w:rPr>
          <w:rFonts w:eastAsia="Calibri" w:cstheme="minorHAnsi"/>
          <w:bCs/>
          <w:noProof/>
          <w:sz w:val="21"/>
          <w:szCs w:val="21"/>
        </w:rPr>
        <w:t xml:space="preserve">Lenka Kuželová, </w:t>
      </w:r>
      <w:r w:rsidRPr="00AD79CC">
        <w:rPr>
          <w:rFonts w:eastAsia="F015TEELig" w:cstheme="minorHAnsi"/>
          <w:sz w:val="21"/>
          <w:szCs w:val="21"/>
        </w:rPr>
        <w:t xml:space="preserve">Specialistka PR </w:t>
      </w:r>
    </w:p>
    <w:p w14:paraId="14A711EF" w14:textId="77777777" w:rsidR="00624358" w:rsidRPr="00AD79CC" w:rsidRDefault="00624358" w:rsidP="00624358">
      <w:pPr>
        <w:pStyle w:val="Bezmezer"/>
        <w:rPr>
          <w:rFonts w:eastAsia="F015TEELig" w:cstheme="minorHAnsi"/>
          <w:sz w:val="21"/>
          <w:szCs w:val="21"/>
        </w:rPr>
      </w:pPr>
      <w:r>
        <w:rPr>
          <w:rFonts w:eastAsia="F015TEELig" w:cstheme="minorHAnsi"/>
          <w:sz w:val="21"/>
          <w:szCs w:val="21"/>
        </w:rPr>
        <w:t>Mobil: +420 731 929 990</w:t>
      </w:r>
      <w:r w:rsidRPr="00AD79CC">
        <w:rPr>
          <w:rFonts w:eastAsia="F015TEELig" w:cstheme="minorHAnsi"/>
          <w:sz w:val="21"/>
          <w:szCs w:val="21"/>
        </w:rPr>
        <w:t>, e-mail:</w:t>
      </w:r>
      <w:r w:rsidRPr="00AD79CC">
        <w:rPr>
          <w:rFonts w:eastAsia="Calibri" w:cstheme="minorHAnsi"/>
          <w:noProof/>
          <w:sz w:val="21"/>
          <w:szCs w:val="21"/>
        </w:rPr>
        <w:t xml:space="preserve"> </w:t>
      </w:r>
      <w:hyperlink r:id="rId27" w:history="1">
        <w:r w:rsidRPr="00DE288C">
          <w:rPr>
            <w:rStyle w:val="Hypertextovodkaz"/>
            <w:rFonts w:eastAsia="Calibri" w:cstheme="minorHAnsi"/>
            <w:noProof/>
            <w:sz w:val="21"/>
            <w:szCs w:val="21"/>
          </w:rPr>
          <w:t>lenka.kuzelova@bcas.cz</w:t>
        </w:r>
      </w:hyperlink>
      <w:r>
        <w:rPr>
          <w:rFonts w:eastAsia="Calibri" w:cstheme="minorHAnsi"/>
          <w:noProof/>
          <w:sz w:val="21"/>
          <w:szCs w:val="21"/>
        </w:rPr>
        <w:t xml:space="preserve"> </w:t>
      </w:r>
    </w:p>
    <w:p w14:paraId="12134AC2" w14:textId="4F708FE7" w:rsidR="008F3C6D" w:rsidRPr="00EF6D8C" w:rsidRDefault="008F3C6D" w:rsidP="00EF6D8C">
      <w:pPr>
        <w:rPr>
          <w:rFonts w:asciiTheme="minorHAnsi" w:eastAsiaTheme="minorEastAsia" w:hAnsiTheme="minorHAnsi" w:cstheme="minorHAnsi"/>
          <w:noProof/>
          <w:color w:val="000000" w:themeColor="text1"/>
          <w:sz w:val="21"/>
          <w:szCs w:val="21"/>
          <w:lang w:bidi="ar-SA"/>
        </w:rPr>
      </w:pPr>
    </w:p>
    <w:sectPr w:rsidR="008F3C6D" w:rsidRPr="00EF6D8C"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7831A3" w14:textId="77777777" w:rsidR="00BA43E2" w:rsidRDefault="00BA43E2">
      <w:r>
        <w:separator/>
      </w:r>
    </w:p>
  </w:endnote>
  <w:endnote w:type="continuationSeparator" w:id="0">
    <w:p w14:paraId="6B235A27" w14:textId="77777777" w:rsidR="00BA43E2" w:rsidRDefault="00BA4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BA43E2"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B676CF"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BA43E2"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B676CF"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BA43E2"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B676CF"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5EE9F4" w14:textId="77777777" w:rsidR="00BA43E2" w:rsidRDefault="00BA43E2">
      <w:r>
        <w:separator/>
      </w:r>
    </w:p>
  </w:footnote>
  <w:footnote w:type="continuationSeparator" w:id="0">
    <w:p w14:paraId="559A227D" w14:textId="77777777" w:rsidR="00BA43E2" w:rsidRDefault="00BA43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BC331D" w:rsidRDefault="00D80B6D" w:rsidP="00E95698">
    <w:pPr>
      <w:tabs>
        <w:tab w:val="left" w:pos="8633"/>
      </w:tabs>
      <w:spacing w:before="80"/>
      <w:ind w:firstLine="2880"/>
      <w:rPr>
        <w:rFonts w:asciiTheme="minorHAnsi" w:hAnsiTheme="minorHAnsi" w:cstheme="minorHAnsi"/>
        <w:sz w:val="52"/>
      </w:rPr>
    </w:pPr>
    <w:r w:rsidRPr="00BC331D">
      <w:rPr>
        <w:rFonts w:asciiTheme="minorHAnsi" w:hAnsiTheme="minorHAnsi" w:cstheme="minorHAnsi"/>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BC331D">
      <w:rPr>
        <w:rFonts w:asciiTheme="minorHAnsi" w:hAnsiTheme="minorHAnsi" w:cstheme="minorHAnsi"/>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BC331D">
      <w:rPr>
        <w:rFonts w:asciiTheme="minorHAnsi" w:hAnsiTheme="minorHAnsi" w:cstheme="minorHAnsi"/>
        <w:color w:val="1D1D1B"/>
        <w:sz w:val="48"/>
      </w:rPr>
      <w:t xml:space="preserve">BROKER CONSULTING </w:t>
    </w:r>
    <w:r w:rsidRPr="00BC331D">
      <w:rPr>
        <w:rFonts w:asciiTheme="minorHAnsi" w:hAnsiTheme="minorHAnsi" w:cstheme="minorHAnsi"/>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1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2ECB10A3" w:rsidR="00B65A3B" w:rsidRDefault="00B65A3B" w:rsidP="00B65A3B">
    <w:pPr>
      <w:spacing w:before="85"/>
      <w:ind w:left="1440" w:firstLine="720"/>
      <w:rPr>
        <w:rFonts w:ascii="Arial" w:hAnsi="Arial" w:cs="Arial"/>
        <w:color w:val="E52713"/>
        <w:sz w:val="28"/>
        <w:szCs w:val="28"/>
      </w:rPr>
    </w:pPr>
    <w:r w:rsidRPr="00B65A3B">
      <w:rPr>
        <w:rFonts w:ascii="Arial" w:hAnsi="Arial" w:cs="Arial"/>
        <w:color w:val="E52713"/>
        <w:sz w:val="28"/>
        <w:szCs w:val="28"/>
      </w:rPr>
      <w:t>INDEX SPOTŘEBITELSKÝCH ÚVĚRŮ</w:t>
    </w:r>
  </w:p>
  <w:p w14:paraId="3F4A0BE4" w14:textId="77777777" w:rsidR="00480982" w:rsidRPr="00B65A3B" w:rsidRDefault="00480982" w:rsidP="00B65A3B">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2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53FBB"/>
    <w:multiLevelType w:val="hybridMultilevel"/>
    <w:tmpl w:val="09B0E60C"/>
    <w:lvl w:ilvl="0" w:tplc="21DECE18">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D8E0C12"/>
    <w:multiLevelType w:val="hybridMultilevel"/>
    <w:tmpl w:val="7C44D2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3" w15:restartNumberingAfterBreak="0">
    <w:nsid w:val="3DFD5456"/>
    <w:multiLevelType w:val="hybridMultilevel"/>
    <w:tmpl w:val="414C92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58C4F68"/>
    <w:multiLevelType w:val="hybridMultilevel"/>
    <w:tmpl w:val="1B0AB248"/>
    <w:lvl w:ilvl="0" w:tplc="21DECE18">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539C3D22"/>
    <w:multiLevelType w:val="hybridMultilevel"/>
    <w:tmpl w:val="011C0E20"/>
    <w:lvl w:ilvl="0" w:tplc="04050017">
      <w:start w:val="1"/>
      <w:numFmt w:val="lowerLetter"/>
      <w:lvlText w:val="%1)"/>
      <w:lvlJc w:val="left"/>
      <w:pPr>
        <w:ind w:left="720" w:hanging="360"/>
      </w:p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558B7238"/>
    <w:multiLevelType w:val="hybridMultilevel"/>
    <w:tmpl w:val="5FA0F59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5F062222"/>
    <w:multiLevelType w:val="hybridMultilevel"/>
    <w:tmpl w:val="8C283B0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 w15:restartNumberingAfterBreak="0">
    <w:nsid w:val="6786571F"/>
    <w:multiLevelType w:val="hybridMultilevel"/>
    <w:tmpl w:val="1B086EF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0" w15:restartNumberingAfterBreak="0">
    <w:nsid w:val="75E63C89"/>
    <w:multiLevelType w:val="hybridMultilevel"/>
    <w:tmpl w:val="FF200B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7E7A6A13"/>
    <w:multiLevelType w:val="hybridMultilevel"/>
    <w:tmpl w:val="5456E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1"/>
  </w:num>
  <w:num w:numId="4">
    <w:abstractNumId w:val="10"/>
  </w:num>
  <w:num w:numId="5">
    <w:abstractNumId w:val="5"/>
  </w:num>
  <w:num w:numId="6">
    <w:abstractNumId w:val="9"/>
  </w:num>
  <w:num w:numId="7">
    <w:abstractNumId w:val="3"/>
  </w:num>
  <w:num w:numId="8">
    <w:abstractNumId w:val="10"/>
  </w:num>
  <w:num w:numId="9">
    <w:abstractNumId w:val="1"/>
  </w:num>
  <w:num w:numId="10">
    <w:abstractNumId w:val="0"/>
  </w:num>
  <w:num w:numId="11">
    <w:abstractNumId w:val="4"/>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1489"/>
    <w:rsid w:val="0000406E"/>
    <w:rsid w:val="00005076"/>
    <w:rsid w:val="000058F2"/>
    <w:rsid w:val="00014E72"/>
    <w:rsid w:val="00017A80"/>
    <w:rsid w:val="00020EC7"/>
    <w:rsid w:val="00021C70"/>
    <w:rsid w:val="00022715"/>
    <w:rsid w:val="00024AC6"/>
    <w:rsid w:val="00026F23"/>
    <w:rsid w:val="000276A7"/>
    <w:rsid w:val="000277AC"/>
    <w:rsid w:val="000329A2"/>
    <w:rsid w:val="00032D94"/>
    <w:rsid w:val="00035A27"/>
    <w:rsid w:val="00036C73"/>
    <w:rsid w:val="000374D7"/>
    <w:rsid w:val="000400E4"/>
    <w:rsid w:val="0004253B"/>
    <w:rsid w:val="0004510B"/>
    <w:rsid w:val="00045B39"/>
    <w:rsid w:val="0005252A"/>
    <w:rsid w:val="0005423A"/>
    <w:rsid w:val="00057018"/>
    <w:rsid w:val="0005726B"/>
    <w:rsid w:val="00057DE7"/>
    <w:rsid w:val="000611E3"/>
    <w:rsid w:val="000618FE"/>
    <w:rsid w:val="00061ABB"/>
    <w:rsid w:val="00062CC5"/>
    <w:rsid w:val="00070317"/>
    <w:rsid w:val="00070675"/>
    <w:rsid w:val="000766E7"/>
    <w:rsid w:val="00076D0E"/>
    <w:rsid w:val="0007763B"/>
    <w:rsid w:val="00080552"/>
    <w:rsid w:val="00080ADE"/>
    <w:rsid w:val="00081616"/>
    <w:rsid w:val="00082FDB"/>
    <w:rsid w:val="000853D4"/>
    <w:rsid w:val="000865AA"/>
    <w:rsid w:val="00087263"/>
    <w:rsid w:val="00091F9C"/>
    <w:rsid w:val="0009776B"/>
    <w:rsid w:val="000A377B"/>
    <w:rsid w:val="000A5467"/>
    <w:rsid w:val="000A6063"/>
    <w:rsid w:val="000B0D84"/>
    <w:rsid w:val="000B2E5D"/>
    <w:rsid w:val="000B2F39"/>
    <w:rsid w:val="000B50B5"/>
    <w:rsid w:val="000B5339"/>
    <w:rsid w:val="000B54E5"/>
    <w:rsid w:val="000C0090"/>
    <w:rsid w:val="000C07FE"/>
    <w:rsid w:val="000C0C52"/>
    <w:rsid w:val="000C1853"/>
    <w:rsid w:val="000C4394"/>
    <w:rsid w:val="000C4C77"/>
    <w:rsid w:val="000C50AA"/>
    <w:rsid w:val="000D145E"/>
    <w:rsid w:val="000D14E2"/>
    <w:rsid w:val="000D5F5D"/>
    <w:rsid w:val="000D68AC"/>
    <w:rsid w:val="000D7A4D"/>
    <w:rsid w:val="000E0EEC"/>
    <w:rsid w:val="000E168E"/>
    <w:rsid w:val="000E3D86"/>
    <w:rsid w:val="000E41B8"/>
    <w:rsid w:val="000F0BA4"/>
    <w:rsid w:val="000F1EC4"/>
    <w:rsid w:val="000F29D1"/>
    <w:rsid w:val="000F6152"/>
    <w:rsid w:val="000F6249"/>
    <w:rsid w:val="00100F77"/>
    <w:rsid w:val="00103543"/>
    <w:rsid w:val="001069A1"/>
    <w:rsid w:val="0010739A"/>
    <w:rsid w:val="00111C28"/>
    <w:rsid w:val="00112079"/>
    <w:rsid w:val="00112CC0"/>
    <w:rsid w:val="00112D65"/>
    <w:rsid w:val="001130B7"/>
    <w:rsid w:val="00114F7B"/>
    <w:rsid w:val="00115429"/>
    <w:rsid w:val="0011716E"/>
    <w:rsid w:val="0012330F"/>
    <w:rsid w:val="00123939"/>
    <w:rsid w:val="001302C1"/>
    <w:rsid w:val="0013044E"/>
    <w:rsid w:val="00131A69"/>
    <w:rsid w:val="001352B7"/>
    <w:rsid w:val="00136C97"/>
    <w:rsid w:val="00137003"/>
    <w:rsid w:val="0013717C"/>
    <w:rsid w:val="00137474"/>
    <w:rsid w:val="00143EFE"/>
    <w:rsid w:val="0014644B"/>
    <w:rsid w:val="00153932"/>
    <w:rsid w:val="001546F5"/>
    <w:rsid w:val="00156082"/>
    <w:rsid w:val="00161D10"/>
    <w:rsid w:val="00164597"/>
    <w:rsid w:val="00166220"/>
    <w:rsid w:val="001675AF"/>
    <w:rsid w:val="00170556"/>
    <w:rsid w:val="00170D87"/>
    <w:rsid w:val="00170E0F"/>
    <w:rsid w:val="00173F5C"/>
    <w:rsid w:val="00174009"/>
    <w:rsid w:val="00175224"/>
    <w:rsid w:val="001767A5"/>
    <w:rsid w:val="00180051"/>
    <w:rsid w:val="00182B07"/>
    <w:rsid w:val="0018460D"/>
    <w:rsid w:val="00186EAB"/>
    <w:rsid w:val="00187ECB"/>
    <w:rsid w:val="001901D0"/>
    <w:rsid w:val="00191B34"/>
    <w:rsid w:val="001925C8"/>
    <w:rsid w:val="00192716"/>
    <w:rsid w:val="00192C2A"/>
    <w:rsid w:val="00193550"/>
    <w:rsid w:val="00194C95"/>
    <w:rsid w:val="0019698F"/>
    <w:rsid w:val="001A54DD"/>
    <w:rsid w:val="001B08C7"/>
    <w:rsid w:val="001B296D"/>
    <w:rsid w:val="001B29C7"/>
    <w:rsid w:val="001B3C85"/>
    <w:rsid w:val="001B501B"/>
    <w:rsid w:val="001B6A93"/>
    <w:rsid w:val="001B745F"/>
    <w:rsid w:val="001C443D"/>
    <w:rsid w:val="001D015A"/>
    <w:rsid w:val="001D3DFC"/>
    <w:rsid w:val="001D4EA8"/>
    <w:rsid w:val="001D66D5"/>
    <w:rsid w:val="001D6965"/>
    <w:rsid w:val="001E22F1"/>
    <w:rsid w:val="001E3D5F"/>
    <w:rsid w:val="001E3FBF"/>
    <w:rsid w:val="001E4209"/>
    <w:rsid w:val="001E44AC"/>
    <w:rsid w:val="001E5305"/>
    <w:rsid w:val="001E5D83"/>
    <w:rsid w:val="001E6A39"/>
    <w:rsid w:val="001F045E"/>
    <w:rsid w:val="001F25C4"/>
    <w:rsid w:val="001F2BE0"/>
    <w:rsid w:val="001F353D"/>
    <w:rsid w:val="001F3CF1"/>
    <w:rsid w:val="001F7194"/>
    <w:rsid w:val="001F71BA"/>
    <w:rsid w:val="001F7D30"/>
    <w:rsid w:val="00200B65"/>
    <w:rsid w:val="00201E92"/>
    <w:rsid w:val="002035A6"/>
    <w:rsid w:val="00203943"/>
    <w:rsid w:val="0020668E"/>
    <w:rsid w:val="002079AA"/>
    <w:rsid w:val="002116F0"/>
    <w:rsid w:val="00213566"/>
    <w:rsid w:val="002141AF"/>
    <w:rsid w:val="002157B1"/>
    <w:rsid w:val="0022066E"/>
    <w:rsid w:val="00220944"/>
    <w:rsid w:val="0022236D"/>
    <w:rsid w:val="002227D9"/>
    <w:rsid w:val="00223A4A"/>
    <w:rsid w:val="002259CD"/>
    <w:rsid w:val="0023042D"/>
    <w:rsid w:val="00232F1A"/>
    <w:rsid w:val="00233A58"/>
    <w:rsid w:val="0023469F"/>
    <w:rsid w:val="002368F3"/>
    <w:rsid w:val="002402BD"/>
    <w:rsid w:val="002404A1"/>
    <w:rsid w:val="002406A8"/>
    <w:rsid w:val="00241313"/>
    <w:rsid w:val="00242D4D"/>
    <w:rsid w:val="00243075"/>
    <w:rsid w:val="00243C49"/>
    <w:rsid w:val="00244AC3"/>
    <w:rsid w:val="0024551C"/>
    <w:rsid w:val="0025264B"/>
    <w:rsid w:val="0025428A"/>
    <w:rsid w:val="002542AA"/>
    <w:rsid w:val="00255003"/>
    <w:rsid w:val="00255182"/>
    <w:rsid w:val="00257823"/>
    <w:rsid w:val="00263C8C"/>
    <w:rsid w:val="002645E4"/>
    <w:rsid w:val="002679C9"/>
    <w:rsid w:val="00270DB3"/>
    <w:rsid w:val="00271F07"/>
    <w:rsid w:val="002743F2"/>
    <w:rsid w:val="0027623E"/>
    <w:rsid w:val="00276C5D"/>
    <w:rsid w:val="00281834"/>
    <w:rsid w:val="002831C1"/>
    <w:rsid w:val="00285397"/>
    <w:rsid w:val="0028590C"/>
    <w:rsid w:val="00287D46"/>
    <w:rsid w:val="00290416"/>
    <w:rsid w:val="00295432"/>
    <w:rsid w:val="002A0285"/>
    <w:rsid w:val="002A2A64"/>
    <w:rsid w:val="002A3F19"/>
    <w:rsid w:val="002A6FA3"/>
    <w:rsid w:val="002A7325"/>
    <w:rsid w:val="002B0728"/>
    <w:rsid w:val="002B1317"/>
    <w:rsid w:val="002B47AF"/>
    <w:rsid w:val="002B7DA9"/>
    <w:rsid w:val="002B7F6D"/>
    <w:rsid w:val="002C00F6"/>
    <w:rsid w:val="002C0240"/>
    <w:rsid w:val="002C4A25"/>
    <w:rsid w:val="002C4B92"/>
    <w:rsid w:val="002C4BCE"/>
    <w:rsid w:val="002C7224"/>
    <w:rsid w:val="002D1619"/>
    <w:rsid w:val="002D20B9"/>
    <w:rsid w:val="002D6D20"/>
    <w:rsid w:val="002E1ABC"/>
    <w:rsid w:val="002E3DC6"/>
    <w:rsid w:val="002E633F"/>
    <w:rsid w:val="002F002B"/>
    <w:rsid w:val="002F05B2"/>
    <w:rsid w:val="002F1DD3"/>
    <w:rsid w:val="002F3FCA"/>
    <w:rsid w:val="002F485A"/>
    <w:rsid w:val="002F56BD"/>
    <w:rsid w:val="002F59DF"/>
    <w:rsid w:val="002F7EC2"/>
    <w:rsid w:val="003001F4"/>
    <w:rsid w:val="003028DB"/>
    <w:rsid w:val="00304C85"/>
    <w:rsid w:val="003055CB"/>
    <w:rsid w:val="00306EEA"/>
    <w:rsid w:val="00306FE1"/>
    <w:rsid w:val="00307E95"/>
    <w:rsid w:val="00310BEB"/>
    <w:rsid w:val="00311F45"/>
    <w:rsid w:val="0031287A"/>
    <w:rsid w:val="003128F8"/>
    <w:rsid w:val="00313A87"/>
    <w:rsid w:val="00315AC2"/>
    <w:rsid w:val="00316FA6"/>
    <w:rsid w:val="0031712D"/>
    <w:rsid w:val="0031752C"/>
    <w:rsid w:val="00320455"/>
    <w:rsid w:val="00320E0F"/>
    <w:rsid w:val="00320EEF"/>
    <w:rsid w:val="00321518"/>
    <w:rsid w:val="00321E19"/>
    <w:rsid w:val="003226EB"/>
    <w:rsid w:val="003247B0"/>
    <w:rsid w:val="00330918"/>
    <w:rsid w:val="00331E15"/>
    <w:rsid w:val="00332FBA"/>
    <w:rsid w:val="003358BA"/>
    <w:rsid w:val="00340DB5"/>
    <w:rsid w:val="0034184F"/>
    <w:rsid w:val="00342F85"/>
    <w:rsid w:val="0034360E"/>
    <w:rsid w:val="00345686"/>
    <w:rsid w:val="00345DAD"/>
    <w:rsid w:val="00345DD2"/>
    <w:rsid w:val="00347557"/>
    <w:rsid w:val="003502B4"/>
    <w:rsid w:val="00352D2E"/>
    <w:rsid w:val="00355366"/>
    <w:rsid w:val="00356752"/>
    <w:rsid w:val="00361D44"/>
    <w:rsid w:val="003629B6"/>
    <w:rsid w:val="00365407"/>
    <w:rsid w:val="0036580F"/>
    <w:rsid w:val="003705A1"/>
    <w:rsid w:val="00370C35"/>
    <w:rsid w:val="003721AD"/>
    <w:rsid w:val="0037300C"/>
    <w:rsid w:val="00374182"/>
    <w:rsid w:val="00374618"/>
    <w:rsid w:val="00383942"/>
    <w:rsid w:val="00383DC5"/>
    <w:rsid w:val="00385325"/>
    <w:rsid w:val="00385EED"/>
    <w:rsid w:val="00386B09"/>
    <w:rsid w:val="00387C6C"/>
    <w:rsid w:val="00390B58"/>
    <w:rsid w:val="00392024"/>
    <w:rsid w:val="003948A1"/>
    <w:rsid w:val="00396E90"/>
    <w:rsid w:val="003A1549"/>
    <w:rsid w:val="003A285A"/>
    <w:rsid w:val="003A2887"/>
    <w:rsid w:val="003A375A"/>
    <w:rsid w:val="003A43AB"/>
    <w:rsid w:val="003A6435"/>
    <w:rsid w:val="003B0E4E"/>
    <w:rsid w:val="003B0E4F"/>
    <w:rsid w:val="003B3F0C"/>
    <w:rsid w:val="003B4BD8"/>
    <w:rsid w:val="003C0CBE"/>
    <w:rsid w:val="003C2A23"/>
    <w:rsid w:val="003C4A8F"/>
    <w:rsid w:val="003C5664"/>
    <w:rsid w:val="003C59A8"/>
    <w:rsid w:val="003C6F57"/>
    <w:rsid w:val="003C7F98"/>
    <w:rsid w:val="003D157E"/>
    <w:rsid w:val="003D1987"/>
    <w:rsid w:val="003D2162"/>
    <w:rsid w:val="003D47CB"/>
    <w:rsid w:val="003D654E"/>
    <w:rsid w:val="003E0649"/>
    <w:rsid w:val="003E255B"/>
    <w:rsid w:val="003E3701"/>
    <w:rsid w:val="003E5B34"/>
    <w:rsid w:val="003E6537"/>
    <w:rsid w:val="003E70DD"/>
    <w:rsid w:val="003F0CAF"/>
    <w:rsid w:val="003F324C"/>
    <w:rsid w:val="003F40AA"/>
    <w:rsid w:val="003F7018"/>
    <w:rsid w:val="003F79EC"/>
    <w:rsid w:val="0040257E"/>
    <w:rsid w:val="00403729"/>
    <w:rsid w:val="004041EF"/>
    <w:rsid w:val="00404530"/>
    <w:rsid w:val="004053BB"/>
    <w:rsid w:val="004075C9"/>
    <w:rsid w:val="00411153"/>
    <w:rsid w:val="004116FD"/>
    <w:rsid w:val="0041759C"/>
    <w:rsid w:val="0042193A"/>
    <w:rsid w:val="004228ED"/>
    <w:rsid w:val="00422A4A"/>
    <w:rsid w:val="00424406"/>
    <w:rsid w:val="00431BE5"/>
    <w:rsid w:val="00432DAE"/>
    <w:rsid w:val="0043345B"/>
    <w:rsid w:val="0043347D"/>
    <w:rsid w:val="004336E4"/>
    <w:rsid w:val="00433F20"/>
    <w:rsid w:val="00434FA2"/>
    <w:rsid w:val="00434FAE"/>
    <w:rsid w:val="00435342"/>
    <w:rsid w:val="004372BB"/>
    <w:rsid w:val="004376B0"/>
    <w:rsid w:val="00445316"/>
    <w:rsid w:val="00445D0A"/>
    <w:rsid w:val="00447FBA"/>
    <w:rsid w:val="004501B9"/>
    <w:rsid w:val="00453558"/>
    <w:rsid w:val="00453CFE"/>
    <w:rsid w:val="00454843"/>
    <w:rsid w:val="004556BB"/>
    <w:rsid w:val="00455F65"/>
    <w:rsid w:val="004578A2"/>
    <w:rsid w:val="00457FFE"/>
    <w:rsid w:val="00460FA7"/>
    <w:rsid w:val="00461BF2"/>
    <w:rsid w:val="004625DF"/>
    <w:rsid w:val="0046273D"/>
    <w:rsid w:val="004627B9"/>
    <w:rsid w:val="00463191"/>
    <w:rsid w:val="004678E9"/>
    <w:rsid w:val="00467E69"/>
    <w:rsid w:val="00471166"/>
    <w:rsid w:val="00473E24"/>
    <w:rsid w:val="00474C76"/>
    <w:rsid w:val="00477DC5"/>
    <w:rsid w:val="00480982"/>
    <w:rsid w:val="00481E79"/>
    <w:rsid w:val="00483C09"/>
    <w:rsid w:val="0048655B"/>
    <w:rsid w:val="00486655"/>
    <w:rsid w:val="0049280D"/>
    <w:rsid w:val="00492BA9"/>
    <w:rsid w:val="004935C2"/>
    <w:rsid w:val="00496374"/>
    <w:rsid w:val="004A40C5"/>
    <w:rsid w:val="004A59C1"/>
    <w:rsid w:val="004A7830"/>
    <w:rsid w:val="004B2DF6"/>
    <w:rsid w:val="004B2FF6"/>
    <w:rsid w:val="004B4E91"/>
    <w:rsid w:val="004B5797"/>
    <w:rsid w:val="004B7412"/>
    <w:rsid w:val="004B7436"/>
    <w:rsid w:val="004C222D"/>
    <w:rsid w:val="004C3DD1"/>
    <w:rsid w:val="004C3F71"/>
    <w:rsid w:val="004D5196"/>
    <w:rsid w:val="004D5CC6"/>
    <w:rsid w:val="004D6DB4"/>
    <w:rsid w:val="004E09B8"/>
    <w:rsid w:val="004E1737"/>
    <w:rsid w:val="004F303D"/>
    <w:rsid w:val="004F38CD"/>
    <w:rsid w:val="004F5D36"/>
    <w:rsid w:val="004F6195"/>
    <w:rsid w:val="00504EBB"/>
    <w:rsid w:val="0050659B"/>
    <w:rsid w:val="00507472"/>
    <w:rsid w:val="005130A9"/>
    <w:rsid w:val="005141D4"/>
    <w:rsid w:val="00514932"/>
    <w:rsid w:val="005153F7"/>
    <w:rsid w:val="00515952"/>
    <w:rsid w:val="005220A8"/>
    <w:rsid w:val="005224C1"/>
    <w:rsid w:val="005231DA"/>
    <w:rsid w:val="00530625"/>
    <w:rsid w:val="0053079B"/>
    <w:rsid w:val="0053153F"/>
    <w:rsid w:val="00531C9F"/>
    <w:rsid w:val="005328D4"/>
    <w:rsid w:val="00533EEB"/>
    <w:rsid w:val="00534AE7"/>
    <w:rsid w:val="005361AF"/>
    <w:rsid w:val="00536822"/>
    <w:rsid w:val="00536954"/>
    <w:rsid w:val="0053728E"/>
    <w:rsid w:val="00540563"/>
    <w:rsid w:val="00540606"/>
    <w:rsid w:val="005411AC"/>
    <w:rsid w:val="00541870"/>
    <w:rsid w:val="005436EC"/>
    <w:rsid w:val="00543DD3"/>
    <w:rsid w:val="00544A37"/>
    <w:rsid w:val="00545971"/>
    <w:rsid w:val="005478C7"/>
    <w:rsid w:val="00550147"/>
    <w:rsid w:val="00550AC2"/>
    <w:rsid w:val="00551FDB"/>
    <w:rsid w:val="00554D18"/>
    <w:rsid w:val="00564382"/>
    <w:rsid w:val="00564E3C"/>
    <w:rsid w:val="0056501A"/>
    <w:rsid w:val="00565024"/>
    <w:rsid w:val="00571AD4"/>
    <w:rsid w:val="00573886"/>
    <w:rsid w:val="00573EE2"/>
    <w:rsid w:val="005766D5"/>
    <w:rsid w:val="00577D19"/>
    <w:rsid w:val="00590190"/>
    <w:rsid w:val="005907CD"/>
    <w:rsid w:val="0059586E"/>
    <w:rsid w:val="00597875"/>
    <w:rsid w:val="005A2139"/>
    <w:rsid w:val="005A37E5"/>
    <w:rsid w:val="005A4EB8"/>
    <w:rsid w:val="005A50EB"/>
    <w:rsid w:val="005A5BBA"/>
    <w:rsid w:val="005A5F08"/>
    <w:rsid w:val="005A78BC"/>
    <w:rsid w:val="005B3143"/>
    <w:rsid w:val="005B31D7"/>
    <w:rsid w:val="005B460E"/>
    <w:rsid w:val="005C0BC2"/>
    <w:rsid w:val="005C150C"/>
    <w:rsid w:val="005C318A"/>
    <w:rsid w:val="005D3285"/>
    <w:rsid w:val="005D52F3"/>
    <w:rsid w:val="005D72AF"/>
    <w:rsid w:val="005D75B2"/>
    <w:rsid w:val="005E1193"/>
    <w:rsid w:val="005E14B1"/>
    <w:rsid w:val="005E5A67"/>
    <w:rsid w:val="005E61BF"/>
    <w:rsid w:val="005E7301"/>
    <w:rsid w:val="005E7865"/>
    <w:rsid w:val="005E7EC0"/>
    <w:rsid w:val="005F2D95"/>
    <w:rsid w:val="005F6BD8"/>
    <w:rsid w:val="005F7E72"/>
    <w:rsid w:val="005F7EAE"/>
    <w:rsid w:val="0060397A"/>
    <w:rsid w:val="0060554F"/>
    <w:rsid w:val="006135FD"/>
    <w:rsid w:val="0061438C"/>
    <w:rsid w:val="006166CE"/>
    <w:rsid w:val="0062060D"/>
    <w:rsid w:val="006218E4"/>
    <w:rsid w:val="00623C47"/>
    <w:rsid w:val="00624358"/>
    <w:rsid w:val="006264E4"/>
    <w:rsid w:val="0062747C"/>
    <w:rsid w:val="0062786E"/>
    <w:rsid w:val="00636142"/>
    <w:rsid w:val="006365D5"/>
    <w:rsid w:val="0064160C"/>
    <w:rsid w:val="00643131"/>
    <w:rsid w:val="00646E6F"/>
    <w:rsid w:val="00650123"/>
    <w:rsid w:val="006509E8"/>
    <w:rsid w:val="00651B48"/>
    <w:rsid w:val="006542CA"/>
    <w:rsid w:val="006548C4"/>
    <w:rsid w:val="00655AC3"/>
    <w:rsid w:val="0066135D"/>
    <w:rsid w:val="00662758"/>
    <w:rsid w:val="00662AC6"/>
    <w:rsid w:val="00662F40"/>
    <w:rsid w:val="00664259"/>
    <w:rsid w:val="00664867"/>
    <w:rsid w:val="00667012"/>
    <w:rsid w:val="00675867"/>
    <w:rsid w:val="006768F0"/>
    <w:rsid w:val="00677078"/>
    <w:rsid w:val="00681F49"/>
    <w:rsid w:val="00682D62"/>
    <w:rsid w:val="006839FB"/>
    <w:rsid w:val="00683F9A"/>
    <w:rsid w:val="0068571D"/>
    <w:rsid w:val="006859AC"/>
    <w:rsid w:val="006859FD"/>
    <w:rsid w:val="00685AF9"/>
    <w:rsid w:val="0068617E"/>
    <w:rsid w:val="006870AB"/>
    <w:rsid w:val="006902C0"/>
    <w:rsid w:val="00690415"/>
    <w:rsid w:val="00691527"/>
    <w:rsid w:val="006939E7"/>
    <w:rsid w:val="006A2F6C"/>
    <w:rsid w:val="006A3510"/>
    <w:rsid w:val="006A3BE2"/>
    <w:rsid w:val="006A4E81"/>
    <w:rsid w:val="006A5A20"/>
    <w:rsid w:val="006B2F00"/>
    <w:rsid w:val="006B4027"/>
    <w:rsid w:val="006B58D8"/>
    <w:rsid w:val="006B7185"/>
    <w:rsid w:val="006C5C1A"/>
    <w:rsid w:val="006C5ED3"/>
    <w:rsid w:val="006C61E8"/>
    <w:rsid w:val="006D18F3"/>
    <w:rsid w:val="006D1EDF"/>
    <w:rsid w:val="006D1F87"/>
    <w:rsid w:val="006D2B43"/>
    <w:rsid w:val="006D39DF"/>
    <w:rsid w:val="006D65EC"/>
    <w:rsid w:val="006E26DC"/>
    <w:rsid w:val="006E6A2F"/>
    <w:rsid w:val="006E70A0"/>
    <w:rsid w:val="006F32FB"/>
    <w:rsid w:val="006F4298"/>
    <w:rsid w:val="006F66F1"/>
    <w:rsid w:val="006F7641"/>
    <w:rsid w:val="007046C5"/>
    <w:rsid w:val="00704CBA"/>
    <w:rsid w:val="00704D83"/>
    <w:rsid w:val="007052FC"/>
    <w:rsid w:val="00705D83"/>
    <w:rsid w:val="00707E44"/>
    <w:rsid w:val="00710AF5"/>
    <w:rsid w:val="00710E0C"/>
    <w:rsid w:val="007131CE"/>
    <w:rsid w:val="00713AF1"/>
    <w:rsid w:val="00716355"/>
    <w:rsid w:val="0072112C"/>
    <w:rsid w:val="0072112F"/>
    <w:rsid w:val="00724267"/>
    <w:rsid w:val="00725BF5"/>
    <w:rsid w:val="00727B95"/>
    <w:rsid w:val="007320FB"/>
    <w:rsid w:val="007362E3"/>
    <w:rsid w:val="007408D1"/>
    <w:rsid w:val="00741E71"/>
    <w:rsid w:val="00743390"/>
    <w:rsid w:val="00743627"/>
    <w:rsid w:val="00743E6A"/>
    <w:rsid w:val="00744C4D"/>
    <w:rsid w:val="0074636A"/>
    <w:rsid w:val="00750450"/>
    <w:rsid w:val="00753B64"/>
    <w:rsid w:val="007563D8"/>
    <w:rsid w:val="0076114C"/>
    <w:rsid w:val="00762590"/>
    <w:rsid w:val="0076280C"/>
    <w:rsid w:val="007630EF"/>
    <w:rsid w:val="007648F0"/>
    <w:rsid w:val="0076667F"/>
    <w:rsid w:val="007672BB"/>
    <w:rsid w:val="00771B91"/>
    <w:rsid w:val="00772415"/>
    <w:rsid w:val="007725B8"/>
    <w:rsid w:val="00772FF0"/>
    <w:rsid w:val="007741A2"/>
    <w:rsid w:val="007748AF"/>
    <w:rsid w:val="007753A0"/>
    <w:rsid w:val="00776CDE"/>
    <w:rsid w:val="007815BB"/>
    <w:rsid w:val="007824F4"/>
    <w:rsid w:val="00782848"/>
    <w:rsid w:val="00784109"/>
    <w:rsid w:val="0078410A"/>
    <w:rsid w:val="0078525A"/>
    <w:rsid w:val="00785FC5"/>
    <w:rsid w:val="0078631B"/>
    <w:rsid w:val="0078653C"/>
    <w:rsid w:val="0079190D"/>
    <w:rsid w:val="00791A2B"/>
    <w:rsid w:val="00791B3A"/>
    <w:rsid w:val="00791E6F"/>
    <w:rsid w:val="00792EE9"/>
    <w:rsid w:val="0079572A"/>
    <w:rsid w:val="007969EF"/>
    <w:rsid w:val="007A1121"/>
    <w:rsid w:val="007A1122"/>
    <w:rsid w:val="007A15A6"/>
    <w:rsid w:val="007A1AB2"/>
    <w:rsid w:val="007A41BD"/>
    <w:rsid w:val="007A6A4D"/>
    <w:rsid w:val="007A74F9"/>
    <w:rsid w:val="007A7C7B"/>
    <w:rsid w:val="007B152D"/>
    <w:rsid w:val="007B358E"/>
    <w:rsid w:val="007B48B8"/>
    <w:rsid w:val="007C0F6D"/>
    <w:rsid w:val="007D0C39"/>
    <w:rsid w:val="007D14AE"/>
    <w:rsid w:val="007D325D"/>
    <w:rsid w:val="007D6231"/>
    <w:rsid w:val="007E11E7"/>
    <w:rsid w:val="007E3027"/>
    <w:rsid w:val="007E38CD"/>
    <w:rsid w:val="007E5614"/>
    <w:rsid w:val="007E6E9A"/>
    <w:rsid w:val="007E768B"/>
    <w:rsid w:val="007F04C6"/>
    <w:rsid w:val="007F13CC"/>
    <w:rsid w:val="007F2512"/>
    <w:rsid w:val="007F2DE8"/>
    <w:rsid w:val="007F3E94"/>
    <w:rsid w:val="007F4493"/>
    <w:rsid w:val="007F4C72"/>
    <w:rsid w:val="007F5903"/>
    <w:rsid w:val="007F5D6E"/>
    <w:rsid w:val="007F64D9"/>
    <w:rsid w:val="007F71F9"/>
    <w:rsid w:val="008011E7"/>
    <w:rsid w:val="0080323F"/>
    <w:rsid w:val="00805BDB"/>
    <w:rsid w:val="008063BB"/>
    <w:rsid w:val="00812394"/>
    <w:rsid w:val="008123FF"/>
    <w:rsid w:val="0081387C"/>
    <w:rsid w:val="00814072"/>
    <w:rsid w:val="0081474E"/>
    <w:rsid w:val="008171F9"/>
    <w:rsid w:val="008200C4"/>
    <w:rsid w:val="00826BAD"/>
    <w:rsid w:val="0083053E"/>
    <w:rsid w:val="008317A3"/>
    <w:rsid w:val="00831B5E"/>
    <w:rsid w:val="00832F5B"/>
    <w:rsid w:val="00837ECF"/>
    <w:rsid w:val="00841AC4"/>
    <w:rsid w:val="00845A34"/>
    <w:rsid w:val="00850AB7"/>
    <w:rsid w:val="00852192"/>
    <w:rsid w:val="00852BBB"/>
    <w:rsid w:val="00856806"/>
    <w:rsid w:val="00856D3C"/>
    <w:rsid w:val="00857BC8"/>
    <w:rsid w:val="00860609"/>
    <w:rsid w:val="00863360"/>
    <w:rsid w:val="00863FC3"/>
    <w:rsid w:val="0087199F"/>
    <w:rsid w:val="00871CBD"/>
    <w:rsid w:val="00873732"/>
    <w:rsid w:val="00874C1A"/>
    <w:rsid w:val="00877EBC"/>
    <w:rsid w:val="00880B97"/>
    <w:rsid w:val="00881800"/>
    <w:rsid w:val="00883A3E"/>
    <w:rsid w:val="008845ED"/>
    <w:rsid w:val="0088579E"/>
    <w:rsid w:val="00885B2F"/>
    <w:rsid w:val="008875C1"/>
    <w:rsid w:val="00891E25"/>
    <w:rsid w:val="008926E5"/>
    <w:rsid w:val="008926F3"/>
    <w:rsid w:val="008953F0"/>
    <w:rsid w:val="008972CE"/>
    <w:rsid w:val="008A04D3"/>
    <w:rsid w:val="008A0B01"/>
    <w:rsid w:val="008A0BD0"/>
    <w:rsid w:val="008A4116"/>
    <w:rsid w:val="008A60F1"/>
    <w:rsid w:val="008B2EEE"/>
    <w:rsid w:val="008B30CD"/>
    <w:rsid w:val="008B3925"/>
    <w:rsid w:val="008B4E8C"/>
    <w:rsid w:val="008B4F0F"/>
    <w:rsid w:val="008C000E"/>
    <w:rsid w:val="008C04FA"/>
    <w:rsid w:val="008C1620"/>
    <w:rsid w:val="008C1795"/>
    <w:rsid w:val="008C2254"/>
    <w:rsid w:val="008C3938"/>
    <w:rsid w:val="008C3A59"/>
    <w:rsid w:val="008C4B0D"/>
    <w:rsid w:val="008D33FC"/>
    <w:rsid w:val="008E1286"/>
    <w:rsid w:val="008E19F3"/>
    <w:rsid w:val="008E1F4A"/>
    <w:rsid w:val="008E694A"/>
    <w:rsid w:val="008E79E2"/>
    <w:rsid w:val="008F08A1"/>
    <w:rsid w:val="008F0C4A"/>
    <w:rsid w:val="008F1824"/>
    <w:rsid w:val="008F2AEC"/>
    <w:rsid w:val="008F36CB"/>
    <w:rsid w:val="008F3C6D"/>
    <w:rsid w:val="008F6AAF"/>
    <w:rsid w:val="00901DB4"/>
    <w:rsid w:val="00901E1F"/>
    <w:rsid w:val="0090292E"/>
    <w:rsid w:val="0090656A"/>
    <w:rsid w:val="009066E9"/>
    <w:rsid w:val="00906E67"/>
    <w:rsid w:val="0091135A"/>
    <w:rsid w:val="009144B1"/>
    <w:rsid w:val="00915ADA"/>
    <w:rsid w:val="00916B03"/>
    <w:rsid w:val="00920391"/>
    <w:rsid w:val="0092097A"/>
    <w:rsid w:val="00921003"/>
    <w:rsid w:val="009222C9"/>
    <w:rsid w:val="009228CF"/>
    <w:rsid w:val="0092416B"/>
    <w:rsid w:val="00925499"/>
    <w:rsid w:val="00930569"/>
    <w:rsid w:val="00931F18"/>
    <w:rsid w:val="00932625"/>
    <w:rsid w:val="009343CC"/>
    <w:rsid w:val="009344C2"/>
    <w:rsid w:val="00934B3E"/>
    <w:rsid w:val="00934CD7"/>
    <w:rsid w:val="00935CE8"/>
    <w:rsid w:val="009412B0"/>
    <w:rsid w:val="00944750"/>
    <w:rsid w:val="00944E57"/>
    <w:rsid w:val="009462A7"/>
    <w:rsid w:val="0094645B"/>
    <w:rsid w:val="0094705C"/>
    <w:rsid w:val="00954814"/>
    <w:rsid w:val="00957739"/>
    <w:rsid w:val="00957B41"/>
    <w:rsid w:val="009631E0"/>
    <w:rsid w:val="009649D2"/>
    <w:rsid w:val="009660BD"/>
    <w:rsid w:val="009674F1"/>
    <w:rsid w:val="009750FA"/>
    <w:rsid w:val="009771E2"/>
    <w:rsid w:val="009771E6"/>
    <w:rsid w:val="00977540"/>
    <w:rsid w:val="009834E2"/>
    <w:rsid w:val="00983BFD"/>
    <w:rsid w:val="00985DC8"/>
    <w:rsid w:val="009917AF"/>
    <w:rsid w:val="009A0029"/>
    <w:rsid w:val="009A4FC0"/>
    <w:rsid w:val="009A52BA"/>
    <w:rsid w:val="009A63A0"/>
    <w:rsid w:val="009A69B1"/>
    <w:rsid w:val="009A700C"/>
    <w:rsid w:val="009B1D25"/>
    <w:rsid w:val="009C0ECA"/>
    <w:rsid w:val="009C16D4"/>
    <w:rsid w:val="009C45BA"/>
    <w:rsid w:val="009C7948"/>
    <w:rsid w:val="009C79BD"/>
    <w:rsid w:val="009D01A2"/>
    <w:rsid w:val="009D1D17"/>
    <w:rsid w:val="009D2197"/>
    <w:rsid w:val="009D24BB"/>
    <w:rsid w:val="009D44DD"/>
    <w:rsid w:val="009D64B2"/>
    <w:rsid w:val="009D729E"/>
    <w:rsid w:val="009D7493"/>
    <w:rsid w:val="009E233F"/>
    <w:rsid w:val="009E24B0"/>
    <w:rsid w:val="009E2575"/>
    <w:rsid w:val="009E317D"/>
    <w:rsid w:val="009E31C0"/>
    <w:rsid w:val="009E3B52"/>
    <w:rsid w:val="009E5992"/>
    <w:rsid w:val="009F2CB2"/>
    <w:rsid w:val="009F342D"/>
    <w:rsid w:val="009F3DA2"/>
    <w:rsid w:val="009F59EE"/>
    <w:rsid w:val="009F6CFC"/>
    <w:rsid w:val="00A008B8"/>
    <w:rsid w:val="00A00D89"/>
    <w:rsid w:val="00A04BAE"/>
    <w:rsid w:val="00A04EC0"/>
    <w:rsid w:val="00A05887"/>
    <w:rsid w:val="00A069E2"/>
    <w:rsid w:val="00A07639"/>
    <w:rsid w:val="00A10289"/>
    <w:rsid w:val="00A106F8"/>
    <w:rsid w:val="00A10BF9"/>
    <w:rsid w:val="00A11C90"/>
    <w:rsid w:val="00A12900"/>
    <w:rsid w:val="00A1395B"/>
    <w:rsid w:val="00A13D4D"/>
    <w:rsid w:val="00A14701"/>
    <w:rsid w:val="00A16A29"/>
    <w:rsid w:val="00A16E82"/>
    <w:rsid w:val="00A20BBF"/>
    <w:rsid w:val="00A2244B"/>
    <w:rsid w:val="00A22B56"/>
    <w:rsid w:val="00A252BA"/>
    <w:rsid w:val="00A26285"/>
    <w:rsid w:val="00A27237"/>
    <w:rsid w:val="00A27A7B"/>
    <w:rsid w:val="00A31C39"/>
    <w:rsid w:val="00A350E5"/>
    <w:rsid w:val="00A36CBA"/>
    <w:rsid w:val="00A36D79"/>
    <w:rsid w:val="00A3783E"/>
    <w:rsid w:val="00A41EA4"/>
    <w:rsid w:val="00A43785"/>
    <w:rsid w:val="00A43AC5"/>
    <w:rsid w:val="00A44FE0"/>
    <w:rsid w:val="00A4618A"/>
    <w:rsid w:val="00A500F9"/>
    <w:rsid w:val="00A50D03"/>
    <w:rsid w:val="00A52128"/>
    <w:rsid w:val="00A522F5"/>
    <w:rsid w:val="00A53799"/>
    <w:rsid w:val="00A551C6"/>
    <w:rsid w:val="00A55209"/>
    <w:rsid w:val="00A566B1"/>
    <w:rsid w:val="00A61269"/>
    <w:rsid w:val="00A624BA"/>
    <w:rsid w:val="00A64F9A"/>
    <w:rsid w:val="00A672BC"/>
    <w:rsid w:val="00A712B2"/>
    <w:rsid w:val="00A720B2"/>
    <w:rsid w:val="00A74214"/>
    <w:rsid w:val="00A7796E"/>
    <w:rsid w:val="00A812F9"/>
    <w:rsid w:val="00A86544"/>
    <w:rsid w:val="00A879DE"/>
    <w:rsid w:val="00A9085F"/>
    <w:rsid w:val="00A92C95"/>
    <w:rsid w:val="00A93A25"/>
    <w:rsid w:val="00A95A73"/>
    <w:rsid w:val="00AA0920"/>
    <w:rsid w:val="00AA3055"/>
    <w:rsid w:val="00AA469A"/>
    <w:rsid w:val="00AA5141"/>
    <w:rsid w:val="00AA6E6D"/>
    <w:rsid w:val="00AA715C"/>
    <w:rsid w:val="00AA7977"/>
    <w:rsid w:val="00AA79D9"/>
    <w:rsid w:val="00AB0126"/>
    <w:rsid w:val="00AB50FF"/>
    <w:rsid w:val="00AB6239"/>
    <w:rsid w:val="00AC4BEC"/>
    <w:rsid w:val="00AC57BB"/>
    <w:rsid w:val="00AC614D"/>
    <w:rsid w:val="00AD0323"/>
    <w:rsid w:val="00AD1F39"/>
    <w:rsid w:val="00AD4295"/>
    <w:rsid w:val="00AD4BC3"/>
    <w:rsid w:val="00AD647D"/>
    <w:rsid w:val="00AE02FD"/>
    <w:rsid w:val="00AE267B"/>
    <w:rsid w:val="00AE2698"/>
    <w:rsid w:val="00AE313F"/>
    <w:rsid w:val="00AE34F4"/>
    <w:rsid w:val="00AF042F"/>
    <w:rsid w:val="00AF412F"/>
    <w:rsid w:val="00B00C49"/>
    <w:rsid w:val="00B01601"/>
    <w:rsid w:val="00B0200B"/>
    <w:rsid w:val="00B03105"/>
    <w:rsid w:val="00B03461"/>
    <w:rsid w:val="00B0766F"/>
    <w:rsid w:val="00B07F42"/>
    <w:rsid w:val="00B10787"/>
    <w:rsid w:val="00B11974"/>
    <w:rsid w:val="00B12CF8"/>
    <w:rsid w:val="00B13035"/>
    <w:rsid w:val="00B225A2"/>
    <w:rsid w:val="00B244B9"/>
    <w:rsid w:val="00B24559"/>
    <w:rsid w:val="00B27020"/>
    <w:rsid w:val="00B27178"/>
    <w:rsid w:val="00B310C3"/>
    <w:rsid w:val="00B41E5B"/>
    <w:rsid w:val="00B42229"/>
    <w:rsid w:val="00B43ABC"/>
    <w:rsid w:val="00B44FA9"/>
    <w:rsid w:val="00B50DC6"/>
    <w:rsid w:val="00B51125"/>
    <w:rsid w:val="00B51F55"/>
    <w:rsid w:val="00B52CDF"/>
    <w:rsid w:val="00B5679C"/>
    <w:rsid w:val="00B60D60"/>
    <w:rsid w:val="00B63CDD"/>
    <w:rsid w:val="00B65687"/>
    <w:rsid w:val="00B6589C"/>
    <w:rsid w:val="00B65A3B"/>
    <w:rsid w:val="00B676CF"/>
    <w:rsid w:val="00B67AF0"/>
    <w:rsid w:val="00B72C6B"/>
    <w:rsid w:val="00B72E16"/>
    <w:rsid w:val="00B73012"/>
    <w:rsid w:val="00B73E39"/>
    <w:rsid w:val="00B83D7B"/>
    <w:rsid w:val="00B85620"/>
    <w:rsid w:val="00B8588E"/>
    <w:rsid w:val="00B91131"/>
    <w:rsid w:val="00B94E88"/>
    <w:rsid w:val="00B95BB2"/>
    <w:rsid w:val="00B95EBA"/>
    <w:rsid w:val="00B97151"/>
    <w:rsid w:val="00BA037E"/>
    <w:rsid w:val="00BA04AB"/>
    <w:rsid w:val="00BA23D8"/>
    <w:rsid w:val="00BA35C9"/>
    <w:rsid w:val="00BA3EE0"/>
    <w:rsid w:val="00BA43E2"/>
    <w:rsid w:val="00BA786D"/>
    <w:rsid w:val="00BB0AA7"/>
    <w:rsid w:val="00BB4D49"/>
    <w:rsid w:val="00BB537C"/>
    <w:rsid w:val="00BB6439"/>
    <w:rsid w:val="00BB675F"/>
    <w:rsid w:val="00BB7776"/>
    <w:rsid w:val="00BC331B"/>
    <w:rsid w:val="00BC331D"/>
    <w:rsid w:val="00BC332B"/>
    <w:rsid w:val="00BC3E08"/>
    <w:rsid w:val="00BD17B0"/>
    <w:rsid w:val="00BD21B8"/>
    <w:rsid w:val="00BD3E59"/>
    <w:rsid w:val="00BD4403"/>
    <w:rsid w:val="00BD56B7"/>
    <w:rsid w:val="00BD5A47"/>
    <w:rsid w:val="00BD5FB6"/>
    <w:rsid w:val="00BE2BCC"/>
    <w:rsid w:val="00BE3896"/>
    <w:rsid w:val="00BE424D"/>
    <w:rsid w:val="00BE4A23"/>
    <w:rsid w:val="00BE7068"/>
    <w:rsid w:val="00BE768F"/>
    <w:rsid w:val="00C03192"/>
    <w:rsid w:val="00C06684"/>
    <w:rsid w:val="00C10C80"/>
    <w:rsid w:val="00C11CD5"/>
    <w:rsid w:val="00C22046"/>
    <w:rsid w:val="00C23E32"/>
    <w:rsid w:val="00C251C4"/>
    <w:rsid w:val="00C266F9"/>
    <w:rsid w:val="00C27759"/>
    <w:rsid w:val="00C314C1"/>
    <w:rsid w:val="00C31917"/>
    <w:rsid w:val="00C37B8E"/>
    <w:rsid w:val="00C40571"/>
    <w:rsid w:val="00C40D7F"/>
    <w:rsid w:val="00C41741"/>
    <w:rsid w:val="00C41DD9"/>
    <w:rsid w:val="00C427DA"/>
    <w:rsid w:val="00C42C49"/>
    <w:rsid w:val="00C42FAF"/>
    <w:rsid w:val="00C47FE5"/>
    <w:rsid w:val="00C521D9"/>
    <w:rsid w:val="00C52C56"/>
    <w:rsid w:val="00C56053"/>
    <w:rsid w:val="00C568FB"/>
    <w:rsid w:val="00C56D0A"/>
    <w:rsid w:val="00C67476"/>
    <w:rsid w:val="00C7063D"/>
    <w:rsid w:val="00C71320"/>
    <w:rsid w:val="00C7255C"/>
    <w:rsid w:val="00C72FDA"/>
    <w:rsid w:val="00C734F1"/>
    <w:rsid w:val="00C73AA7"/>
    <w:rsid w:val="00C73DAB"/>
    <w:rsid w:val="00C76BF4"/>
    <w:rsid w:val="00C76F3B"/>
    <w:rsid w:val="00C85569"/>
    <w:rsid w:val="00C863A3"/>
    <w:rsid w:val="00C864DC"/>
    <w:rsid w:val="00C866E4"/>
    <w:rsid w:val="00C90075"/>
    <w:rsid w:val="00C915B4"/>
    <w:rsid w:val="00C92177"/>
    <w:rsid w:val="00C94C33"/>
    <w:rsid w:val="00C94EEA"/>
    <w:rsid w:val="00CA1722"/>
    <w:rsid w:val="00CA172B"/>
    <w:rsid w:val="00CA452F"/>
    <w:rsid w:val="00CA6098"/>
    <w:rsid w:val="00CA7673"/>
    <w:rsid w:val="00CB1227"/>
    <w:rsid w:val="00CB1255"/>
    <w:rsid w:val="00CB18B1"/>
    <w:rsid w:val="00CB38CA"/>
    <w:rsid w:val="00CB66A2"/>
    <w:rsid w:val="00CB6F2B"/>
    <w:rsid w:val="00CC1067"/>
    <w:rsid w:val="00CC1159"/>
    <w:rsid w:val="00CC2EC2"/>
    <w:rsid w:val="00CC3679"/>
    <w:rsid w:val="00CC721B"/>
    <w:rsid w:val="00CD18B3"/>
    <w:rsid w:val="00CD2C10"/>
    <w:rsid w:val="00CD3324"/>
    <w:rsid w:val="00CD5FBC"/>
    <w:rsid w:val="00CD6162"/>
    <w:rsid w:val="00CE3B40"/>
    <w:rsid w:val="00CE4309"/>
    <w:rsid w:val="00CE5DBB"/>
    <w:rsid w:val="00CE6C6E"/>
    <w:rsid w:val="00CF42B9"/>
    <w:rsid w:val="00CF580B"/>
    <w:rsid w:val="00CF7819"/>
    <w:rsid w:val="00D01832"/>
    <w:rsid w:val="00D033AD"/>
    <w:rsid w:val="00D04527"/>
    <w:rsid w:val="00D201A6"/>
    <w:rsid w:val="00D21C96"/>
    <w:rsid w:val="00D30854"/>
    <w:rsid w:val="00D31127"/>
    <w:rsid w:val="00D33134"/>
    <w:rsid w:val="00D366B5"/>
    <w:rsid w:val="00D4052C"/>
    <w:rsid w:val="00D43328"/>
    <w:rsid w:val="00D43DD3"/>
    <w:rsid w:val="00D447AC"/>
    <w:rsid w:val="00D4538C"/>
    <w:rsid w:val="00D4539F"/>
    <w:rsid w:val="00D458F0"/>
    <w:rsid w:val="00D45D3C"/>
    <w:rsid w:val="00D472C6"/>
    <w:rsid w:val="00D5079D"/>
    <w:rsid w:val="00D50B73"/>
    <w:rsid w:val="00D535DF"/>
    <w:rsid w:val="00D54957"/>
    <w:rsid w:val="00D55BD2"/>
    <w:rsid w:val="00D57CA6"/>
    <w:rsid w:val="00D6041B"/>
    <w:rsid w:val="00D60D98"/>
    <w:rsid w:val="00D61018"/>
    <w:rsid w:val="00D6265B"/>
    <w:rsid w:val="00D66D12"/>
    <w:rsid w:val="00D67732"/>
    <w:rsid w:val="00D72F33"/>
    <w:rsid w:val="00D7707C"/>
    <w:rsid w:val="00D80919"/>
    <w:rsid w:val="00D80B6D"/>
    <w:rsid w:val="00D80CAD"/>
    <w:rsid w:val="00D82CBC"/>
    <w:rsid w:val="00D8513A"/>
    <w:rsid w:val="00D85BBB"/>
    <w:rsid w:val="00D90628"/>
    <w:rsid w:val="00D92D49"/>
    <w:rsid w:val="00D930E7"/>
    <w:rsid w:val="00D93623"/>
    <w:rsid w:val="00D93D7A"/>
    <w:rsid w:val="00D94672"/>
    <w:rsid w:val="00D94D96"/>
    <w:rsid w:val="00D9690A"/>
    <w:rsid w:val="00DA073A"/>
    <w:rsid w:val="00DA08E6"/>
    <w:rsid w:val="00DA244F"/>
    <w:rsid w:val="00DA441B"/>
    <w:rsid w:val="00DA50BA"/>
    <w:rsid w:val="00DA5330"/>
    <w:rsid w:val="00DA55A8"/>
    <w:rsid w:val="00DA7B87"/>
    <w:rsid w:val="00DB0266"/>
    <w:rsid w:val="00DB0F40"/>
    <w:rsid w:val="00DB36D4"/>
    <w:rsid w:val="00DB63D9"/>
    <w:rsid w:val="00DB7514"/>
    <w:rsid w:val="00DB795C"/>
    <w:rsid w:val="00DB7E77"/>
    <w:rsid w:val="00DC0B27"/>
    <w:rsid w:val="00DC1667"/>
    <w:rsid w:val="00DC2FCA"/>
    <w:rsid w:val="00DC30D0"/>
    <w:rsid w:val="00DC78F9"/>
    <w:rsid w:val="00DC7E88"/>
    <w:rsid w:val="00DD3AB0"/>
    <w:rsid w:val="00DD5EC0"/>
    <w:rsid w:val="00DD68B5"/>
    <w:rsid w:val="00DD7FC1"/>
    <w:rsid w:val="00DE62D6"/>
    <w:rsid w:val="00DE7740"/>
    <w:rsid w:val="00DF0000"/>
    <w:rsid w:val="00DF020C"/>
    <w:rsid w:val="00DF05CC"/>
    <w:rsid w:val="00DF16F7"/>
    <w:rsid w:val="00DF4BD2"/>
    <w:rsid w:val="00DF5A2C"/>
    <w:rsid w:val="00DF7709"/>
    <w:rsid w:val="00DF7D1B"/>
    <w:rsid w:val="00E003F9"/>
    <w:rsid w:val="00E00DC6"/>
    <w:rsid w:val="00E01A0A"/>
    <w:rsid w:val="00E02B4A"/>
    <w:rsid w:val="00E058A3"/>
    <w:rsid w:val="00E06422"/>
    <w:rsid w:val="00E07A88"/>
    <w:rsid w:val="00E11439"/>
    <w:rsid w:val="00E151F3"/>
    <w:rsid w:val="00E161C6"/>
    <w:rsid w:val="00E17539"/>
    <w:rsid w:val="00E17D0C"/>
    <w:rsid w:val="00E21CDE"/>
    <w:rsid w:val="00E225BA"/>
    <w:rsid w:val="00E2483C"/>
    <w:rsid w:val="00E26CF0"/>
    <w:rsid w:val="00E30987"/>
    <w:rsid w:val="00E31346"/>
    <w:rsid w:val="00E33BF5"/>
    <w:rsid w:val="00E35966"/>
    <w:rsid w:val="00E36C23"/>
    <w:rsid w:val="00E376F8"/>
    <w:rsid w:val="00E40550"/>
    <w:rsid w:val="00E40650"/>
    <w:rsid w:val="00E409BF"/>
    <w:rsid w:val="00E4121F"/>
    <w:rsid w:val="00E41C99"/>
    <w:rsid w:val="00E423B5"/>
    <w:rsid w:val="00E4267D"/>
    <w:rsid w:val="00E4313E"/>
    <w:rsid w:val="00E43F59"/>
    <w:rsid w:val="00E448C8"/>
    <w:rsid w:val="00E45D9D"/>
    <w:rsid w:val="00E461E4"/>
    <w:rsid w:val="00E47FF9"/>
    <w:rsid w:val="00E518BB"/>
    <w:rsid w:val="00E56A60"/>
    <w:rsid w:val="00E57F9B"/>
    <w:rsid w:val="00E65A9A"/>
    <w:rsid w:val="00E6726D"/>
    <w:rsid w:val="00E76043"/>
    <w:rsid w:val="00E77BCA"/>
    <w:rsid w:val="00E81433"/>
    <w:rsid w:val="00E81C95"/>
    <w:rsid w:val="00E8372E"/>
    <w:rsid w:val="00E84B41"/>
    <w:rsid w:val="00E852A3"/>
    <w:rsid w:val="00E93958"/>
    <w:rsid w:val="00E968DA"/>
    <w:rsid w:val="00EA01CC"/>
    <w:rsid w:val="00EA0A92"/>
    <w:rsid w:val="00EA0C1C"/>
    <w:rsid w:val="00EA3819"/>
    <w:rsid w:val="00EA477A"/>
    <w:rsid w:val="00EA4F68"/>
    <w:rsid w:val="00EA57EB"/>
    <w:rsid w:val="00EA674F"/>
    <w:rsid w:val="00EB1036"/>
    <w:rsid w:val="00EB4746"/>
    <w:rsid w:val="00EB4785"/>
    <w:rsid w:val="00EB48E6"/>
    <w:rsid w:val="00EB716B"/>
    <w:rsid w:val="00EC3BED"/>
    <w:rsid w:val="00EC72E9"/>
    <w:rsid w:val="00EC7BC1"/>
    <w:rsid w:val="00EC7F0E"/>
    <w:rsid w:val="00ED1BBB"/>
    <w:rsid w:val="00ED2D1F"/>
    <w:rsid w:val="00ED47B9"/>
    <w:rsid w:val="00ED58E9"/>
    <w:rsid w:val="00ED79D6"/>
    <w:rsid w:val="00EE1831"/>
    <w:rsid w:val="00EE3451"/>
    <w:rsid w:val="00EE3C70"/>
    <w:rsid w:val="00EE63BE"/>
    <w:rsid w:val="00EE6922"/>
    <w:rsid w:val="00EE6E06"/>
    <w:rsid w:val="00EE6F99"/>
    <w:rsid w:val="00EF0284"/>
    <w:rsid w:val="00EF18D9"/>
    <w:rsid w:val="00EF1AE7"/>
    <w:rsid w:val="00EF2F7C"/>
    <w:rsid w:val="00EF318B"/>
    <w:rsid w:val="00EF6D8C"/>
    <w:rsid w:val="00F01A8D"/>
    <w:rsid w:val="00F01BFC"/>
    <w:rsid w:val="00F02356"/>
    <w:rsid w:val="00F02D95"/>
    <w:rsid w:val="00F101B3"/>
    <w:rsid w:val="00F10A3C"/>
    <w:rsid w:val="00F13FDA"/>
    <w:rsid w:val="00F14982"/>
    <w:rsid w:val="00F14B6E"/>
    <w:rsid w:val="00F20B64"/>
    <w:rsid w:val="00F20D55"/>
    <w:rsid w:val="00F210E1"/>
    <w:rsid w:val="00F21D05"/>
    <w:rsid w:val="00F250B8"/>
    <w:rsid w:val="00F253CD"/>
    <w:rsid w:val="00F25676"/>
    <w:rsid w:val="00F2598D"/>
    <w:rsid w:val="00F259AE"/>
    <w:rsid w:val="00F30F02"/>
    <w:rsid w:val="00F311EB"/>
    <w:rsid w:val="00F31B7E"/>
    <w:rsid w:val="00F336A2"/>
    <w:rsid w:val="00F33826"/>
    <w:rsid w:val="00F33D58"/>
    <w:rsid w:val="00F34E7C"/>
    <w:rsid w:val="00F350A2"/>
    <w:rsid w:val="00F3561E"/>
    <w:rsid w:val="00F36EC6"/>
    <w:rsid w:val="00F4229F"/>
    <w:rsid w:val="00F43A8C"/>
    <w:rsid w:val="00F44AEB"/>
    <w:rsid w:val="00F45620"/>
    <w:rsid w:val="00F465B7"/>
    <w:rsid w:val="00F46BBD"/>
    <w:rsid w:val="00F479A2"/>
    <w:rsid w:val="00F51B95"/>
    <w:rsid w:val="00F5432C"/>
    <w:rsid w:val="00F5470D"/>
    <w:rsid w:val="00F5611C"/>
    <w:rsid w:val="00F56253"/>
    <w:rsid w:val="00F637FB"/>
    <w:rsid w:val="00F640A4"/>
    <w:rsid w:val="00F65F8D"/>
    <w:rsid w:val="00F66B41"/>
    <w:rsid w:val="00F712AB"/>
    <w:rsid w:val="00F77D7D"/>
    <w:rsid w:val="00F800F5"/>
    <w:rsid w:val="00F80CD0"/>
    <w:rsid w:val="00F82DDB"/>
    <w:rsid w:val="00F838FF"/>
    <w:rsid w:val="00F83CDB"/>
    <w:rsid w:val="00F8401D"/>
    <w:rsid w:val="00F8771B"/>
    <w:rsid w:val="00F87E05"/>
    <w:rsid w:val="00F90003"/>
    <w:rsid w:val="00F9173C"/>
    <w:rsid w:val="00F94180"/>
    <w:rsid w:val="00F95752"/>
    <w:rsid w:val="00FA04F3"/>
    <w:rsid w:val="00FA1C73"/>
    <w:rsid w:val="00FA3302"/>
    <w:rsid w:val="00FA69C2"/>
    <w:rsid w:val="00FA6B22"/>
    <w:rsid w:val="00FA6E63"/>
    <w:rsid w:val="00FA73E5"/>
    <w:rsid w:val="00FB18D0"/>
    <w:rsid w:val="00FB2ED6"/>
    <w:rsid w:val="00FB3309"/>
    <w:rsid w:val="00FB53F1"/>
    <w:rsid w:val="00FB65BA"/>
    <w:rsid w:val="00FC0973"/>
    <w:rsid w:val="00FC2216"/>
    <w:rsid w:val="00FC23FE"/>
    <w:rsid w:val="00FC2522"/>
    <w:rsid w:val="00FC309B"/>
    <w:rsid w:val="00FC5B56"/>
    <w:rsid w:val="00FC6F1F"/>
    <w:rsid w:val="00FC7D97"/>
    <w:rsid w:val="00FC7DA9"/>
    <w:rsid w:val="00FD43E4"/>
    <w:rsid w:val="00FD4B12"/>
    <w:rsid w:val="00FD7195"/>
    <w:rsid w:val="00FD747A"/>
    <w:rsid w:val="00FE10BB"/>
    <w:rsid w:val="00FE3038"/>
    <w:rsid w:val="00FE34CB"/>
    <w:rsid w:val="00FE4313"/>
    <w:rsid w:val="00FE6055"/>
    <w:rsid w:val="00FE619E"/>
    <w:rsid w:val="00FF21FF"/>
    <w:rsid w:val="00FF38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34"/>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78525A"/>
    <w:rPr>
      <w:i/>
      <w:iCs/>
    </w:rPr>
  </w:style>
  <w:style w:type="character" w:customStyle="1" w:styleId="apple-converted-space">
    <w:name w:val="apple-converted-space"/>
    <w:basedOn w:val="Standardnpsmoodstavce"/>
    <w:rsid w:val="0078525A"/>
  </w:style>
  <w:style w:type="character" w:customStyle="1" w:styleId="Nevyeenzmnka1">
    <w:name w:val="Nevyřešená zmínka1"/>
    <w:basedOn w:val="Standardnpsmoodstavce"/>
    <w:uiPriority w:val="99"/>
    <w:semiHidden/>
    <w:unhideWhenUsed/>
    <w:rsid w:val="00FA6B22"/>
    <w:rPr>
      <w:color w:val="605E5C"/>
      <w:shd w:val="clear" w:color="auto" w:fill="E1DFDD"/>
    </w:rPr>
  </w:style>
  <w:style w:type="paragraph" w:styleId="Revize">
    <w:name w:val="Revision"/>
    <w:hidden/>
    <w:uiPriority w:val="99"/>
    <w:semiHidden/>
    <w:rsid w:val="00EA4F68"/>
    <w:pPr>
      <w:widowControl/>
      <w:autoSpaceDE/>
      <w:autoSpaceDN/>
    </w:pPr>
    <w:rPr>
      <w:rFonts w:ascii="F015TEELig" w:eastAsia="F015TEELig" w:hAnsi="F015TEELig" w:cs="F015TEELig"/>
      <w:lang w:val="cs-CZ" w:eastAsia="cs-CZ" w:bidi="cs-CZ"/>
    </w:rPr>
  </w:style>
  <w:style w:type="character" w:styleId="Siln">
    <w:name w:val="Strong"/>
    <w:basedOn w:val="Standardnpsmoodstavce"/>
    <w:uiPriority w:val="22"/>
    <w:qFormat/>
    <w:rsid w:val="009649D2"/>
    <w:rPr>
      <w:b/>
      <w:bCs/>
    </w:rPr>
  </w:style>
  <w:style w:type="table" w:styleId="Mkatabulky">
    <w:name w:val="Table Grid"/>
    <w:basedOn w:val="Normlntabulka"/>
    <w:uiPriority w:val="39"/>
    <w:rsid w:val="0060397A"/>
    <w:pPr>
      <w:widowControl/>
      <w:autoSpaceDE/>
      <w:autoSpaceDN/>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7D32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36460">
      <w:bodyDiv w:val="1"/>
      <w:marLeft w:val="0"/>
      <w:marRight w:val="0"/>
      <w:marTop w:val="0"/>
      <w:marBottom w:val="0"/>
      <w:divBdr>
        <w:top w:val="none" w:sz="0" w:space="0" w:color="auto"/>
        <w:left w:val="none" w:sz="0" w:space="0" w:color="auto"/>
        <w:bottom w:val="none" w:sz="0" w:space="0" w:color="auto"/>
        <w:right w:val="none" w:sz="0" w:space="0" w:color="auto"/>
      </w:divBdr>
    </w:div>
    <w:div w:id="104665014">
      <w:bodyDiv w:val="1"/>
      <w:marLeft w:val="0"/>
      <w:marRight w:val="0"/>
      <w:marTop w:val="0"/>
      <w:marBottom w:val="0"/>
      <w:divBdr>
        <w:top w:val="none" w:sz="0" w:space="0" w:color="auto"/>
        <w:left w:val="none" w:sz="0" w:space="0" w:color="auto"/>
        <w:bottom w:val="none" w:sz="0" w:space="0" w:color="auto"/>
        <w:right w:val="none" w:sz="0" w:space="0" w:color="auto"/>
      </w:divBdr>
    </w:div>
    <w:div w:id="111561255">
      <w:bodyDiv w:val="1"/>
      <w:marLeft w:val="0"/>
      <w:marRight w:val="0"/>
      <w:marTop w:val="0"/>
      <w:marBottom w:val="0"/>
      <w:divBdr>
        <w:top w:val="none" w:sz="0" w:space="0" w:color="auto"/>
        <w:left w:val="none" w:sz="0" w:space="0" w:color="auto"/>
        <w:bottom w:val="none" w:sz="0" w:space="0" w:color="auto"/>
        <w:right w:val="none" w:sz="0" w:space="0" w:color="auto"/>
      </w:divBdr>
    </w:div>
    <w:div w:id="134376578">
      <w:bodyDiv w:val="1"/>
      <w:marLeft w:val="0"/>
      <w:marRight w:val="0"/>
      <w:marTop w:val="0"/>
      <w:marBottom w:val="0"/>
      <w:divBdr>
        <w:top w:val="none" w:sz="0" w:space="0" w:color="auto"/>
        <w:left w:val="none" w:sz="0" w:space="0" w:color="auto"/>
        <w:bottom w:val="none" w:sz="0" w:space="0" w:color="auto"/>
        <w:right w:val="none" w:sz="0" w:space="0" w:color="auto"/>
      </w:divBdr>
    </w:div>
    <w:div w:id="151334288">
      <w:bodyDiv w:val="1"/>
      <w:marLeft w:val="0"/>
      <w:marRight w:val="0"/>
      <w:marTop w:val="0"/>
      <w:marBottom w:val="0"/>
      <w:divBdr>
        <w:top w:val="none" w:sz="0" w:space="0" w:color="auto"/>
        <w:left w:val="none" w:sz="0" w:space="0" w:color="auto"/>
        <w:bottom w:val="none" w:sz="0" w:space="0" w:color="auto"/>
        <w:right w:val="none" w:sz="0" w:space="0" w:color="auto"/>
      </w:divBdr>
    </w:div>
    <w:div w:id="181625473">
      <w:bodyDiv w:val="1"/>
      <w:marLeft w:val="0"/>
      <w:marRight w:val="0"/>
      <w:marTop w:val="0"/>
      <w:marBottom w:val="0"/>
      <w:divBdr>
        <w:top w:val="none" w:sz="0" w:space="0" w:color="auto"/>
        <w:left w:val="none" w:sz="0" w:space="0" w:color="auto"/>
        <w:bottom w:val="none" w:sz="0" w:space="0" w:color="auto"/>
        <w:right w:val="none" w:sz="0" w:space="0" w:color="auto"/>
      </w:divBdr>
      <w:divsChild>
        <w:div w:id="1740320161">
          <w:marLeft w:val="0"/>
          <w:marRight w:val="0"/>
          <w:marTop w:val="0"/>
          <w:marBottom w:val="0"/>
          <w:divBdr>
            <w:top w:val="none" w:sz="0" w:space="0" w:color="auto"/>
            <w:left w:val="none" w:sz="0" w:space="0" w:color="auto"/>
            <w:bottom w:val="none" w:sz="0" w:space="0" w:color="auto"/>
            <w:right w:val="none" w:sz="0" w:space="0" w:color="auto"/>
          </w:divBdr>
          <w:divsChild>
            <w:div w:id="1151946120">
              <w:marLeft w:val="0"/>
              <w:marRight w:val="0"/>
              <w:marTop w:val="0"/>
              <w:marBottom w:val="0"/>
              <w:divBdr>
                <w:top w:val="none" w:sz="0" w:space="0" w:color="auto"/>
                <w:left w:val="none" w:sz="0" w:space="0" w:color="auto"/>
                <w:bottom w:val="none" w:sz="0" w:space="0" w:color="auto"/>
                <w:right w:val="none" w:sz="0" w:space="0" w:color="auto"/>
              </w:divBdr>
              <w:divsChild>
                <w:div w:id="25453510">
                  <w:marLeft w:val="0"/>
                  <w:marRight w:val="0"/>
                  <w:marTop w:val="0"/>
                  <w:marBottom w:val="0"/>
                  <w:divBdr>
                    <w:top w:val="none" w:sz="0" w:space="0" w:color="auto"/>
                    <w:left w:val="none" w:sz="0" w:space="0" w:color="auto"/>
                    <w:bottom w:val="none" w:sz="0" w:space="0" w:color="auto"/>
                    <w:right w:val="none" w:sz="0" w:space="0" w:color="auto"/>
                  </w:divBdr>
                  <w:divsChild>
                    <w:div w:id="1540241522">
                      <w:marLeft w:val="0"/>
                      <w:marRight w:val="0"/>
                      <w:marTop w:val="0"/>
                      <w:marBottom w:val="0"/>
                      <w:divBdr>
                        <w:top w:val="none" w:sz="0" w:space="0" w:color="auto"/>
                        <w:left w:val="none" w:sz="0" w:space="0" w:color="auto"/>
                        <w:bottom w:val="none" w:sz="0" w:space="0" w:color="auto"/>
                        <w:right w:val="none" w:sz="0" w:space="0" w:color="auto"/>
                      </w:divBdr>
                      <w:divsChild>
                        <w:div w:id="776369963">
                          <w:marLeft w:val="0"/>
                          <w:marRight w:val="0"/>
                          <w:marTop w:val="0"/>
                          <w:marBottom w:val="0"/>
                          <w:divBdr>
                            <w:top w:val="none" w:sz="0" w:space="0" w:color="auto"/>
                            <w:left w:val="none" w:sz="0" w:space="0" w:color="auto"/>
                            <w:bottom w:val="none" w:sz="0" w:space="0" w:color="auto"/>
                            <w:right w:val="none" w:sz="0" w:space="0" w:color="auto"/>
                          </w:divBdr>
                          <w:divsChild>
                            <w:div w:id="191774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975976">
      <w:bodyDiv w:val="1"/>
      <w:marLeft w:val="0"/>
      <w:marRight w:val="0"/>
      <w:marTop w:val="0"/>
      <w:marBottom w:val="0"/>
      <w:divBdr>
        <w:top w:val="none" w:sz="0" w:space="0" w:color="auto"/>
        <w:left w:val="none" w:sz="0" w:space="0" w:color="auto"/>
        <w:bottom w:val="none" w:sz="0" w:space="0" w:color="auto"/>
        <w:right w:val="none" w:sz="0" w:space="0" w:color="auto"/>
      </w:divBdr>
    </w:div>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1425086">
      <w:bodyDiv w:val="1"/>
      <w:marLeft w:val="0"/>
      <w:marRight w:val="0"/>
      <w:marTop w:val="0"/>
      <w:marBottom w:val="0"/>
      <w:divBdr>
        <w:top w:val="none" w:sz="0" w:space="0" w:color="auto"/>
        <w:left w:val="none" w:sz="0" w:space="0" w:color="auto"/>
        <w:bottom w:val="none" w:sz="0" w:space="0" w:color="auto"/>
        <w:right w:val="none" w:sz="0" w:space="0" w:color="auto"/>
      </w:divBdr>
    </w:div>
    <w:div w:id="235557152">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262307797">
      <w:bodyDiv w:val="1"/>
      <w:marLeft w:val="0"/>
      <w:marRight w:val="0"/>
      <w:marTop w:val="0"/>
      <w:marBottom w:val="0"/>
      <w:divBdr>
        <w:top w:val="none" w:sz="0" w:space="0" w:color="auto"/>
        <w:left w:val="none" w:sz="0" w:space="0" w:color="auto"/>
        <w:bottom w:val="none" w:sz="0" w:space="0" w:color="auto"/>
        <w:right w:val="none" w:sz="0" w:space="0" w:color="auto"/>
      </w:divBdr>
    </w:div>
    <w:div w:id="496388250">
      <w:bodyDiv w:val="1"/>
      <w:marLeft w:val="0"/>
      <w:marRight w:val="0"/>
      <w:marTop w:val="0"/>
      <w:marBottom w:val="0"/>
      <w:divBdr>
        <w:top w:val="none" w:sz="0" w:space="0" w:color="auto"/>
        <w:left w:val="none" w:sz="0" w:space="0" w:color="auto"/>
        <w:bottom w:val="none" w:sz="0" w:space="0" w:color="auto"/>
        <w:right w:val="none" w:sz="0" w:space="0" w:color="auto"/>
      </w:divBdr>
    </w:div>
    <w:div w:id="521670953">
      <w:bodyDiv w:val="1"/>
      <w:marLeft w:val="0"/>
      <w:marRight w:val="0"/>
      <w:marTop w:val="0"/>
      <w:marBottom w:val="0"/>
      <w:divBdr>
        <w:top w:val="none" w:sz="0" w:space="0" w:color="auto"/>
        <w:left w:val="none" w:sz="0" w:space="0" w:color="auto"/>
        <w:bottom w:val="none" w:sz="0" w:space="0" w:color="auto"/>
        <w:right w:val="none" w:sz="0" w:space="0" w:color="auto"/>
      </w:divBdr>
    </w:div>
    <w:div w:id="700669686">
      <w:bodyDiv w:val="1"/>
      <w:marLeft w:val="0"/>
      <w:marRight w:val="0"/>
      <w:marTop w:val="0"/>
      <w:marBottom w:val="0"/>
      <w:divBdr>
        <w:top w:val="none" w:sz="0" w:space="0" w:color="auto"/>
        <w:left w:val="none" w:sz="0" w:space="0" w:color="auto"/>
        <w:bottom w:val="none" w:sz="0" w:space="0" w:color="auto"/>
        <w:right w:val="none" w:sz="0" w:space="0" w:color="auto"/>
      </w:divBdr>
    </w:div>
    <w:div w:id="712386259">
      <w:bodyDiv w:val="1"/>
      <w:marLeft w:val="0"/>
      <w:marRight w:val="0"/>
      <w:marTop w:val="0"/>
      <w:marBottom w:val="0"/>
      <w:divBdr>
        <w:top w:val="none" w:sz="0" w:space="0" w:color="auto"/>
        <w:left w:val="none" w:sz="0" w:space="0" w:color="auto"/>
        <w:bottom w:val="none" w:sz="0" w:space="0" w:color="auto"/>
        <w:right w:val="none" w:sz="0" w:space="0" w:color="auto"/>
      </w:divBdr>
    </w:div>
    <w:div w:id="727850146">
      <w:bodyDiv w:val="1"/>
      <w:marLeft w:val="0"/>
      <w:marRight w:val="0"/>
      <w:marTop w:val="0"/>
      <w:marBottom w:val="0"/>
      <w:divBdr>
        <w:top w:val="none" w:sz="0" w:space="0" w:color="auto"/>
        <w:left w:val="none" w:sz="0" w:space="0" w:color="auto"/>
        <w:bottom w:val="none" w:sz="0" w:space="0" w:color="auto"/>
        <w:right w:val="none" w:sz="0" w:space="0" w:color="auto"/>
      </w:divBdr>
    </w:div>
    <w:div w:id="768620487">
      <w:bodyDiv w:val="1"/>
      <w:marLeft w:val="0"/>
      <w:marRight w:val="0"/>
      <w:marTop w:val="0"/>
      <w:marBottom w:val="0"/>
      <w:divBdr>
        <w:top w:val="none" w:sz="0" w:space="0" w:color="auto"/>
        <w:left w:val="none" w:sz="0" w:space="0" w:color="auto"/>
        <w:bottom w:val="none" w:sz="0" w:space="0" w:color="auto"/>
        <w:right w:val="none" w:sz="0" w:space="0" w:color="auto"/>
      </w:divBdr>
    </w:div>
    <w:div w:id="784617379">
      <w:bodyDiv w:val="1"/>
      <w:marLeft w:val="0"/>
      <w:marRight w:val="0"/>
      <w:marTop w:val="0"/>
      <w:marBottom w:val="0"/>
      <w:divBdr>
        <w:top w:val="none" w:sz="0" w:space="0" w:color="auto"/>
        <w:left w:val="none" w:sz="0" w:space="0" w:color="auto"/>
        <w:bottom w:val="none" w:sz="0" w:space="0" w:color="auto"/>
        <w:right w:val="none" w:sz="0" w:space="0" w:color="auto"/>
      </w:divBdr>
    </w:div>
    <w:div w:id="809589709">
      <w:bodyDiv w:val="1"/>
      <w:marLeft w:val="0"/>
      <w:marRight w:val="0"/>
      <w:marTop w:val="0"/>
      <w:marBottom w:val="0"/>
      <w:divBdr>
        <w:top w:val="none" w:sz="0" w:space="0" w:color="auto"/>
        <w:left w:val="none" w:sz="0" w:space="0" w:color="auto"/>
        <w:bottom w:val="none" w:sz="0" w:space="0" w:color="auto"/>
        <w:right w:val="none" w:sz="0" w:space="0" w:color="auto"/>
      </w:divBdr>
    </w:div>
    <w:div w:id="839541219">
      <w:bodyDiv w:val="1"/>
      <w:marLeft w:val="0"/>
      <w:marRight w:val="0"/>
      <w:marTop w:val="0"/>
      <w:marBottom w:val="0"/>
      <w:divBdr>
        <w:top w:val="none" w:sz="0" w:space="0" w:color="auto"/>
        <w:left w:val="none" w:sz="0" w:space="0" w:color="auto"/>
        <w:bottom w:val="none" w:sz="0" w:space="0" w:color="auto"/>
        <w:right w:val="none" w:sz="0" w:space="0" w:color="auto"/>
      </w:divBdr>
    </w:div>
    <w:div w:id="910893456">
      <w:bodyDiv w:val="1"/>
      <w:marLeft w:val="0"/>
      <w:marRight w:val="0"/>
      <w:marTop w:val="0"/>
      <w:marBottom w:val="0"/>
      <w:divBdr>
        <w:top w:val="none" w:sz="0" w:space="0" w:color="auto"/>
        <w:left w:val="none" w:sz="0" w:space="0" w:color="auto"/>
        <w:bottom w:val="none" w:sz="0" w:space="0" w:color="auto"/>
        <w:right w:val="none" w:sz="0" w:space="0" w:color="auto"/>
      </w:divBdr>
    </w:div>
    <w:div w:id="996148203">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048380583">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120759940">
      <w:bodyDiv w:val="1"/>
      <w:marLeft w:val="0"/>
      <w:marRight w:val="0"/>
      <w:marTop w:val="0"/>
      <w:marBottom w:val="0"/>
      <w:divBdr>
        <w:top w:val="none" w:sz="0" w:space="0" w:color="auto"/>
        <w:left w:val="none" w:sz="0" w:space="0" w:color="auto"/>
        <w:bottom w:val="none" w:sz="0" w:space="0" w:color="auto"/>
        <w:right w:val="none" w:sz="0" w:space="0" w:color="auto"/>
      </w:divBdr>
    </w:div>
    <w:div w:id="1142887116">
      <w:bodyDiv w:val="1"/>
      <w:marLeft w:val="0"/>
      <w:marRight w:val="0"/>
      <w:marTop w:val="0"/>
      <w:marBottom w:val="0"/>
      <w:divBdr>
        <w:top w:val="none" w:sz="0" w:space="0" w:color="auto"/>
        <w:left w:val="none" w:sz="0" w:space="0" w:color="auto"/>
        <w:bottom w:val="none" w:sz="0" w:space="0" w:color="auto"/>
        <w:right w:val="none" w:sz="0" w:space="0" w:color="auto"/>
      </w:divBdr>
    </w:div>
    <w:div w:id="1165975158">
      <w:bodyDiv w:val="1"/>
      <w:marLeft w:val="0"/>
      <w:marRight w:val="0"/>
      <w:marTop w:val="0"/>
      <w:marBottom w:val="0"/>
      <w:divBdr>
        <w:top w:val="none" w:sz="0" w:space="0" w:color="auto"/>
        <w:left w:val="none" w:sz="0" w:space="0" w:color="auto"/>
        <w:bottom w:val="none" w:sz="0" w:space="0" w:color="auto"/>
        <w:right w:val="none" w:sz="0" w:space="0" w:color="auto"/>
      </w:divBdr>
    </w:div>
    <w:div w:id="1199665655">
      <w:bodyDiv w:val="1"/>
      <w:marLeft w:val="0"/>
      <w:marRight w:val="0"/>
      <w:marTop w:val="0"/>
      <w:marBottom w:val="0"/>
      <w:divBdr>
        <w:top w:val="none" w:sz="0" w:space="0" w:color="auto"/>
        <w:left w:val="none" w:sz="0" w:space="0" w:color="auto"/>
        <w:bottom w:val="none" w:sz="0" w:space="0" w:color="auto"/>
        <w:right w:val="none" w:sz="0" w:space="0" w:color="auto"/>
      </w:divBdr>
    </w:div>
    <w:div w:id="1211453985">
      <w:bodyDiv w:val="1"/>
      <w:marLeft w:val="0"/>
      <w:marRight w:val="0"/>
      <w:marTop w:val="0"/>
      <w:marBottom w:val="0"/>
      <w:divBdr>
        <w:top w:val="none" w:sz="0" w:space="0" w:color="auto"/>
        <w:left w:val="none" w:sz="0" w:space="0" w:color="auto"/>
        <w:bottom w:val="none" w:sz="0" w:space="0" w:color="auto"/>
        <w:right w:val="none" w:sz="0" w:space="0" w:color="auto"/>
      </w:divBdr>
    </w:div>
    <w:div w:id="1220826212">
      <w:bodyDiv w:val="1"/>
      <w:marLeft w:val="0"/>
      <w:marRight w:val="0"/>
      <w:marTop w:val="0"/>
      <w:marBottom w:val="0"/>
      <w:divBdr>
        <w:top w:val="none" w:sz="0" w:space="0" w:color="auto"/>
        <w:left w:val="none" w:sz="0" w:space="0" w:color="auto"/>
        <w:bottom w:val="none" w:sz="0" w:space="0" w:color="auto"/>
        <w:right w:val="none" w:sz="0" w:space="0" w:color="auto"/>
      </w:divBdr>
      <w:divsChild>
        <w:div w:id="751632536">
          <w:marLeft w:val="0"/>
          <w:marRight w:val="0"/>
          <w:marTop w:val="0"/>
          <w:marBottom w:val="0"/>
          <w:divBdr>
            <w:top w:val="none" w:sz="0" w:space="0" w:color="auto"/>
            <w:left w:val="none" w:sz="0" w:space="0" w:color="auto"/>
            <w:bottom w:val="none" w:sz="0" w:space="0" w:color="auto"/>
            <w:right w:val="none" w:sz="0" w:space="0" w:color="auto"/>
          </w:divBdr>
          <w:divsChild>
            <w:div w:id="1611233610">
              <w:marLeft w:val="0"/>
              <w:marRight w:val="0"/>
              <w:marTop w:val="0"/>
              <w:marBottom w:val="0"/>
              <w:divBdr>
                <w:top w:val="none" w:sz="0" w:space="0" w:color="auto"/>
                <w:left w:val="none" w:sz="0" w:space="0" w:color="auto"/>
                <w:bottom w:val="none" w:sz="0" w:space="0" w:color="auto"/>
                <w:right w:val="none" w:sz="0" w:space="0" w:color="auto"/>
              </w:divBdr>
              <w:divsChild>
                <w:div w:id="478158412">
                  <w:marLeft w:val="0"/>
                  <w:marRight w:val="0"/>
                  <w:marTop w:val="0"/>
                  <w:marBottom w:val="0"/>
                  <w:divBdr>
                    <w:top w:val="none" w:sz="0" w:space="0" w:color="auto"/>
                    <w:left w:val="none" w:sz="0" w:space="0" w:color="auto"/>
                    <w:bottom w:val="none" w:sz="0" w:space="0" w:color="auto"/>
                    <w:right w:val="none" w:sz="0" w:space="0" w:color="auto"/>
                  </w:divBdr>
                  <w:divsChild>
                    <w:div w:id="52896651">
                      <w:marLeft w:val="0"/>
                      <w:marRight w:val="0"/>
                      <w:marTop w:val="0"/>
                      <w:marBottom w:val="0"/>
                      <w:divBdr>
                        <w:top w:val="none" w:sz="0" w:space="0" w:color="auto"/>
                        <w:left w:val="none" w:sz="0" w:space="0" w:color="auto"/>
                        <w:bottom w:val="none" w:sz="0" w:space="0" w:color="auto"/>
                        <w:right w:val="none" w:sz="0" w:space="0" w:color="auto"/>
                      </w:divBdr>
                      <w:divsChild>
                        <w:div w:id="1875776120">
                          <w:marLeft w:val="0"/>
                          <w:marRight w:val="0"/>
                          <w:marTop w:val="0"/>
                          <w:marBottom w:val="0"/>
                          <w:divBdr>
                            <w:top w:val="none" w:sz="0" w:space="0" w:color="auto"/>
                            <w:left w:val="none" w:sz="0" w:space="0" w:color="auto"/>
                            <w:bottom w:val="none" w:sz="0" w:space="0" w:color="auto"/>
                            <w:right w:val="none" w:sz="0" w:space="0" w:color="auto"/>
                          </w:divBdr>
                          <w:divsChild>
                            <w:div w:id="2158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2738724">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258439728">
      <w:bodyDiv w:val="1"/>
      <w:marLeft w:val="0"/>
      <w:marRight w:val="0"/>
      <w:marTop w:val="0"/>
      <w:marBottom w:val="0"/>
      <w:divBdr>
        <w:top w:val="none" w:sz="0" w:space="0" w:color="auto"/>
        <w:left w:val="none" w:sz="0" w:space="0" w:color="auto"/>
        <w:bottom w:val="none" w:sz="0" w:space="0" w:color="auto"/>
        <w:right w:val="none" w:sz="0" w:space="0" w:color="auto"/>
      </w:divBdr>
    </w:div>
    <w:div w:id="1307737293">
      <w:bodyDiv w:val="1"/>
      <w:marLeft w:val="0"/>
      <w:marRight w:val="0"/>
      <w:marTop w:val="0"/>
      <w:marBottom w:val="0"/>
      <w:divBdr>
        <w:top w:val="none" w:sz="0" w:space="0" w:color="auto"/>
        <w:left w:val="none" w:sz="0" w:space="0" w:color="auto"/>
        <w:bottom w:val="none" w:sz="0" w:space="0" w:color="auto"/>
        <w:right w:val="none" w:sz="0" w:space="0" w:color="auto"/>
      </w:divBdr>
    </w:div>
    <w:div w:id="1321469928">
      <w:bodyDiv w:val="1"/>
      <w:marLeft w:val="0"/>
      <w:marRight w:val="0"/>
      <w:marTop w:val="0"/>
      <w:marBottom w:val="0"/>
      <w:divBdr>
        <w:top w:val="none" w:sz="0" w:space="0" w:color="auto"/>
        <w:left w:val="none" w:sz="0" w:space="0" w:color="auto"/>
        <w:bottom w:val="none" w:sz="0" w:space="0" w:color="auto"/>
        <w:right w:val="none" w:sz="0" w:space="0" w:color="auto"/>
      </w:divBdr>
    </w:div>
    <w:div w:id="1328364310">
      <w:bodyDiv w:val="1"/>
      <w:marLeft w:val="0"/>
      <w:marRight w:val="0"/>
      <w:marTop w:val="0"/>
      <w:marBottom w:val="0"/>
      <w:divBdr>
        <w:top w:val="none" w:sz="0" w:space="0" w:color="auto"/>
        <w:left w:val="none" w:sz="0" w:space="0" w:color="auto"/>
        <w:bottom w:val="none" w:sz="0" w:space="0" w:color="auto"/>
        <w:right w:val="none" w:sz="0" w:space="0" w:color="auto"/>
      </w:divBdr>
    </w:div>
    <w:div w:id="1398286368">
      <w:bodyDiv w:val="1"/>
      <w:marLeft w:val="0"/>
      <w:marRight w:val="0"/>
      <w:marTop w:val="0"/>
      <w:marBottom w:val="0"/>
      <w:divBdr>
        <w:top w:val="none" w:sz="0" w:space="0" w:color="auto"/>
        <w:left w:val="none" w:sz="0" w:space="0" w:color="auto"/>
        <w:bottom w:val="none" w:sz="0" w:space="0" w:color="auto"/>
        <w:right w:val="none" w:sz="0" w:space="0" w:color="auto"/>
      </w:divBdr>
    </w:div>
    <w:div w:id="1470827945">
      <w:bodyDiv w:val="1"/>
      <w:marLeft w:val="0"/>
      <w:marRight w:val="0"/>
      <w:marTop w:val="0"/>
      <w:marBottom w:val="0"/>
      <w:divBdr>
        <w:top w:val="none" w:sz="0" w:space="0" w:color="auto"/>
        <w:left w:val="none" w:sz="0" w:space="0" w:color="auto"/>
        <w:bottom w:val="none" w:sz="0" w:space="0" w:color="auto"/>
        <w:right w:val="none" w:sz="0" w:space="0" w:color="auto"/>
      </w:divBdr>
    </w:div>
    <w:div w:id="1506087631">
      <w:bodyDiv w:val="1"/>
      <w:marLeft w:val="0"/>
      <w:marRight w:val="0"/>
      <w:marTop w:val="0"/>
      <w:marBottom w:val="0"/>
      <w:divBdr>
        <w:top w:val="none" w:sz="0" w:space="0" w:color="auto"/>
        <w:left w:val="none" w:sz="0" w:space="0" w:color="auto"/>
        <w:bottom w:val="none" w:sz="0" w:space="0" w:color="auto"/>
        <w:right w:val="none" w:sz="0" w:space="0" w:color="auto"/>
      </w:divBdr>
    </w:div>
    <w:div w:id="1507399407">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42743599">
      <w:bodyDiv w:val="1"/>
      <w:marLeft w:val="0"/>
      <w:marRight w:val="0"/>
      <w:marTop w:val="0"/>
      <w:marBottom w:val="0"/>
      <w:divBdr>
        <w:top w:val="none" w:sz="0" w:space="0" w:color="auto"/>
        <w:left w:val="none" w:sz="0" w:space="0" w:color="auto"/>
        <w:bottom w:val="none" w:sz="0" w:space="0" w:color="auto"/>
        <w:right w:val="none" w:sz="0" w:space="0" w:color="auto"/>
      </w:divBdr>
    </w:div>
    <w:div w:id="1548906999">
      <w:bodyDiv w:val="1"/>
      <w:marLeft w:val="0"/>
      <w:marRight w:val="0"/>
      <w:marTop w:val="0"/>
      <w:marBottom w:val="0"/>
      <w:divBdr>
        <w:top w:val="none" w:sz="0" w:space="0" w:color="auto"/>
        <w:left w:val="none" w:sz="0" w:space="0" w:color="auto"/>
        <w:bottom w:val="none" w:sz="0" w:space="0" w:color="auto"/>
        <w:right w:val="none" w:sz="0" w:space="0" w:color="auto"/>
      </w:divBdr>
    </w:div>
    <w:div w:id="1569268482">
      <w:bodyDiv w:val="1"/>
      <w:marLeft w:val="0"/>
      <w:marRight w:val="0"/>
      <w:marTop w:val="0"/>
      <w:marBottom w:val="0"/>
      <w:divBdr>
        <w:top w:val="none" w:sz="0" w:space="0" w:color="auto"/>
        <w:left w:val="none" w:sz="0" w:space="0" w:color="auto"/>
        <w:bottom w:val="none" w:sz="0" w:space="0" w:color="auto"/>
        <w:right w:val="none" w:sz="0" w:space="0" w:color="auto"/>
      </w:divBdr>
    </w:div>
    <w:div w:id="1627811939">
      <w:bodyDiv w:val="1"/>
      <w:marLeft w:val="0"/>
      <w:marRight w:val="0"/>
      <w:marTop w:val="0"/>
      <w:marBottom w:val="0"/>
      <w:divBdr>
        <w:top w:val="none" w:sz="0" w:space="0" w:color="auto"/>
        <w:left w:val="none" w:sz="0" w:space="0" w:color="auto"/>
        <w:bottom w:val="none" w:sz="0" w:space="0" w:color="auto"/>
        <w:right w:val="none" w:sz="0" w:space="0" w:color="auto"/>
      </w:divBdr>
    </w:div>
    <w:div w:id="1638217657">
      <w:bodyDiv w:val="1"/>
      <w:marLeft w:val="0"/>
      <w:marRight w:val="0"/>
      <w:marTop w:val="0"/>
      <w:marBottom w:val="0"/>
      <w:divBdr>
        <w:top w:val="none" w:sz="0" w:space="0" w:color="auto"/>
        <w:left w:val="none" w:sz="0" w:space="0" w:color="auto"/>
        <w:bottom w:val="none" w:sz="0" w:space="0" w:color="auto"/>
        <w:right w:val="none" w:sz="0" w:space="0" w:color="auto"/>
      </w:divBdr>
    </w:div>
    <w:div w:id="1665860585">
      <w:bodyDiv w:val="1"/>
      <w:marLeft w:val="0"/>
      <w:marRight w:val="0"/>
      <w:marTop w:val="0"/>
      <w:marBottom w:val="0"/>
      <w:divBdr>
        <w:top w:val="none" w:sz="0" w:space="0" w:color="auto"/>
        <w:left w:val="none" w:sz="0" w:space="0" w:color="auto"/>
        <w:bottom w:val="none" w:sz="0" w:space="0" w:color="auto"/>
        <w:right w:val="none" w:sz="0" w:space="0" w:color="auto"/>
      </w:divBdr>
    </w:div>
    <w:div w:id="1814322425">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1957104834">
      <w:bodyDiv w:val="1"/>
      <w:marLeft w:val="0"/>
      <w:marRight w:val="0"/>
      <w:marTop w:val="0"/>
      <w:marBottom w:val="0"/>
      <w:divBdr>
        <w:top w:val="none" w:sz="0" w:space="0" w:color="auto"/>
        <w:left w:val="none" w:sz="0" w:space="0" w:color="auto"/>
        <w:bottom w:val="none" w:sz="0" w:space="0" w:color="auto"/>
        <w:right w:val="none" w:sz="0" w:space="0" w:color="auto"/>
      </w:divBdr>
      <w:divsChild>
        <w:div w:id="293759737">
          <w:marLeft w:val="0"/>
          <w:marRight w:val="0"/>
          <w:marTop w:val="0"/>
          <w:marBottom w:val="0"/>
          <w:divBdr>
            <w:top w:val="none" w:sz="0" w:space="0" w:color="auto"/>
            <w:left w:val="none" w:sz="0" w:space="0" w:color="auto"/>
            <w:bottom w:val="none" w:sz="0" w:space="0" w:color="auto"/>
            <w:right w:val="none" w:sz="0" w:space="0" w:color="auto"/>
          </w:divBdr>
          <w:divsChild>
            <w:div w:id="1283809187">
              <w:marLeft w:val="0"/>
              <w:marRight w:val="0"/>
              <w:marTop w:val="0"/>
              <w:marBottom w:val="0"/>
              <w:divBdr>
                <w:top w:val="none" w:sz="0" w:space="0" w:color="auto"/>
                <w:left w:val="none" w:sz="0" w:space="0" w:color="auto"/>
                <w:bottom w:val="none" w:sz="0" w:space="0" w:color="auto"/>
                <w:right w:val="none" w:sz="0" w:space="0" w:color="auto"/>
              </w:divBdr>
              <w:divsChild>
                <w:div w:id="277949201">
                  <w:marLeft w:val="0"/>
                  <w:marRight w:val="0"/>
                  <w:marTop w:val="0"/>
                  <w:marBottom w:val="0"/>
                  <w:divBdr>
                    <w:top w:val="none" w:sz="0" w:space="0" w:color="auto"/>
                    <w:left w:val="none" w:sz="0" w:space="0" w:color="auto"/>
                    <w:bottom w:val="none" w:sz="0" w:space="0" w:color="auto"/>
                    <w:right w:val="none" w:sz="0" w:space="0" w:color="auto"/>
                  </w:divBdr>
                  <w:divsChild>
                    <w:div w:id="2126071203">
                      <w:marLeft w:val="0"/>
                      <w:marRight w:val="0"/>
                      <w:marTop w:val="0"/>
                      <w:marBottom w:val="0"/>
                      <w:divBdr>
                        <w:top w:val="none" w:sz="0" w:space="0" w:color="auto"/>
                        <w:left w:val="none" w:sz="0" w:space="0" w:color="auto"/>
                        <w:bottom w:val="none" w:sz="0" w:space="0" w:color="auto"/>
                        <w:right w:val="none" w:sz="0" w:space="0" w:color="auto"/>
                      </w:divBdr>
                      <w:divsChild>
                        <w:div w:id="12920731">
                          <w:marLeft w:val="0"/>
                          <w:marRight w:val="0"/>
                          <w:marTop w:val="0"/>
                          <w:marBottom w:val="0"/>
                          <w:divBdr>
                            <w:top w:val="none" w:sz="0" w:space="0" w:color="auto"/>
                            <w:left w:val="none" w:sz="0" w:space="0" w:color="auto"/>
                            <w:bottom w:val="none" w:sz="0" w:space="0" w:color="auto"/>
                            <w:right w:val="none" w:sz="0" w:space="0" w:color="auto"/>
                          </w:divBdr>
                          <w:divsChild>
                            <w:div w:id="91150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874814">
      <w:bodyDiv w:val="1"/>
      <w:marLeft w:val="0"/>
      <w:marRight w:val="0"/>
      <w:marTop w:val="0"/>
      <w:marBottom w:val="0"/>
      <w:divBdr>
        <w:top w:val="none" w:sz="0" w:space="0" w:color="auto"/>
        <w:left w:val="none" w:sz="0" w:space="0" w:color="auto"/>
        <w:bottom w:val="none" w:sz="0" w:space="0" w:color="auto"/>
        <w:right w:val="none" w:sz="0" w:space="0" w:color="auto"/>
      </w:divBdr>
    </w:div>
    <w:div w:id="2035156383">
      <w:bodyDiv w:val="1"/>
      <w:marLeft w:val="0"/>
      <w:marRight w:val="0"/>
      <w:marTop w:val="0"/>
      <w:marBottom w:val="0"/>
      <w:divBdr>
        <w:top w:val="none" w:sz="0" w:space="0" w:color="auto"/>
        <w:left w:val="none" w:sz="0" w:space="0" w:color="auto"/>
        <w:bottom w:val="none" w:sz="0" w:space="0" w:color="auto"/>
        <w:right w:val="none" w:sz="0" w:space="0" w:color="auto"/>
      </w:divBdr>
      <w:divsChild>
        <w:div w:id="1400832100">
          <w:marLeft w:val="0"/>
          <w:marRight w:val="0"/>
          <w:marTop w:val="0"/>
          <w:marBottom w:val="0"/>
          <w:divBdr>
            <w:top w:val="none" w:sz="0" w:space="0" w:color="auto"/>
            <w:left w:val="none" w:sz="0" w:space="0" w:color="auto"/>
            <w:bottom w:val="none" w:sz="0" w:space="0" w:color="auto"/>
            <w:right w:val="none" w:sz="0" w:space="0" w:color="auto"/>
          </w:divBdr>
          <w:divsChild>
            <w:div w:id="446974766">
              <w:marLeft w:val="0"/>
              <w:marRight w:val="0"/>
              <w:marTop w:val="0"/>
              <w:marBottom w:val="0"/>
              <w:divBdr>
                <w:top w:val="none" w:sz="0" w:space="0" w:color="auto"/>
                <w:left w:val="none" w:sz="0" w:space="0" w:color="auto"/>
                <w:bottom w:val="none" w:sz="0" w:space="0" w:color="auto"/>
                <w:right w:val="none" w:sz="0" w:space="0" w:color="auto"/>
              </w:divBdr>
              <w:divsChild>
                <w:div w:id="113598995">
                  <w:marLeft w:val="0"/>
                  <w:marRight w:val="0"/>
                  <w:marTop w:val="0"/>
                  <w:marBottom w:val="0"/>
                  <w:divBdr>
                    <w:top w:val="none" w:sz="0" w:space="0" w:color="auto"/>
                    <w:left w:val="none" w:sz="0" w:space="0" w:color="auto"/>
                    <w:bottom w:val="none" w:sz="0" w:space="0" w:color="auto"/>
                    <w:right w:val="none" w:sz="0" w:space="0" w:color="auto"/>
                  </w:divBdr>
                  <w:divsChild>
                    <w:div w:id="1244342809">
                      <w:marLeft w:val="0"/>
                      <w:marRight w:val="0"/>
                      <w:marTop w:val="0"/>
                      <w:marBottom w:val="0"/>
                      <w:divBdr>
                        <w:top w:val="none" w:sz="0" w:space="0" w:color="auto"/>
                        <w:left w:val="none" w:sz="0" w:space="0" w:color="auto"/>
                        <w:bottom w:val="none" w:sz="0" w:space="0" w:color="auto"/>
                        <w:right w:val="none" w:sz="0" w:space="0" w:color="auto"/>
                      </w:divBdr>
                      <w:divsChild>
                        <w:div w:id="617759047">
                          <w:marLeft w:val="0"/>
                          <w:marRight w:val="0"/>
                          <w:marTop w:val="0"/>
                          <w:marBottom w:val="0"/>
                          <w:divBdr>
                            <w:top w:val="none" w:sz="0" w:space="0" w:color="auto"/>
                            <w:left w:val="none" w:sz="0" w:space="0" w:color="auto"/>
                            <w:bottom w:val="none" w:sz="0" w:space="0" w:color="auto"/>
                            <w:right w:val="none" w:sz="0" w:space="0" w:color="auto"/>
                          </w:divBdr>
                          <w:divsChild>
                            <w:div w:id="83376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436420">
      <w:bodyDiv w:val="1"/>
      <w:marLeft w:val="0"/>
      <w:marRight w:val="0"/>
      <w:marTop w:val="0"/>
      <w:marBottom w:val="0"/>
      <w:divBdr>
        <w:top w:val="none" w:sz="0" w:space="0" w:color="auto"/>
        <w:left w:val="none" w:sz="0" w:space="0" w:color="auto"/>
        <w:bottom w:val="none" w:sz="0" w:space="0" w:color="auto"/>
        <w:right w:val="none" w:sz="0" w:space="0" w:color="auto"/>
      </w:divBdr>
    </w:div>
    <w:div w:id="2080445261">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Broker.Consulting/" TargetMode="External"/><Relationship Id="rId18" Type="http://schemas.openxmlformats.org/officeDocument/2006/relationships/footer" Target="footer1.xml"/><Relationship Id="rId26" Type="http://schemas.openxmlformats.org/officeDocument/2006/relationships/hyperlink" Target="https://www.bcas.cz/o-nas/broker-consulting-index-spotrebitelskych-uveru/"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ealityspolu.cz" TargetMode="External"/><Relationship Id="rId17" Type="http://schemas.openxmlformats.org/officeDocument/2006/relationships/header" Target="header1.xm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linkedin.com/company/10668151/" TargetMode="Externa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point.tv"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facebook.com/okpointy/" TargetMode="Externa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okpointy.cz"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bcas.cz" TargetMode="External"/><Relationship Id="rId14" Type="http://schemas.openxmlformats.org/officeDocument/2006/relationships/hyperlink" Target="https://www.linkedin.com/company/786541/" TargetMode="External"/><Relationship Id="rId22" Type="http://schemas.openxmlformats.org/officeDocument/2006/relationships/footer" Target="footer3.xml"/><Relationship Id="rId27" Type="http://schemas.openxmlformats.org/officeDocument/2006/relationships/hyperlink" Target="mailto:lenka.kuzelova@bcas.cz"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272D2E-041F-452C-BAB4-DDF31F89C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Pages>
  <Words>1001</Words>
  <Characters>5907</Characters>
  <Application>Microsoft Office Word</Application>
  <DocSecurity>0</DocSecurity>
  <Lines>49</Lines>
  <Paragraphs>13</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Lenka Kuželová</cp:lastModifiedBy>
  <cp:revision>6</cp:revision>
  <dcterms:created xsi:type="dcterms:W3CDTF">2025-07-07T08:47:00Z</dcterms:created>
  <dcterms:modified xsi:type="dcterms:W3CDTF">2025-07-17T07:12:00Z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